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70" w:rsidRPr="00320CD5" w:rsidRDefault="00983170" w:rsidP="00983170">
      <w:pPr>
        <w:pStyle w:val="ListParagraph"/>
        <w:numPr>
          <w:ilvl w:val="0"/>
          <w:numId w:val="6"/>
        </w:numPr>
        <w:tabs>
          <w:tab w:val="num" w:pos="288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0CD5">
        <w:rPr>
          <w:rFonts w:asciiTheme="minorHAnsi" w:hAnsiTheme="minorHAnsi" w:cstheme="minorHAnsi"/>
          <w:b/>
          <w:bCs/>
          <w:sz w:val="22"/>
          <w:szCs w:val="22"/>
        </w:rPr>
        <w:t>PREDRAČUN</w:t>
      </w:r>
    </w:p>
    <w:p w:rsidR="00694CE8" w:rsidRDefault="00694CE8" w:rsidP="00694CE8">
      <w:pPr>
        <w:pStyle w:val="ListParagraph"/>
        <w:tabs>
          <w:tab w:val="num" w:pos="28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4CE8" w:rsidRDefault="00694CE8" w:rsidP="00694CE8">
      <w:pPr>
        <w:pStyle w:val="ListParagraph"/>
        <w:numPr>
          <w:ilvl w:val="1"/>
          <w:numId w:val="6"/>
        </w:numPr>
        <w:tabs>
          <w:tab w:val="num" w:pos="288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15F1">
        <w:rPr>
          <w:rFonts w:asciiTheme="minorHAnsi" w:hAnsiTheme="minorHAnsi" w:cstheme="minorHAnsi"/>
          <w:b/>
          <w:bCs/>
          <w:sz w:val="22"/>
          <w:szCs w:val="22"/>
        </w:rPr>
        <w:t>Redarji</w:t>
      </w:r>
    </w:p>
    <w:p w:rsidR="00694CE8" w:rsidRPr="00320CD5" w:rsidRDefault="00694CE8" w:rsidP="00694CE8">
      <w:pPr>
        <w:pStyle w:val="ListParagraph"/>
        <w:tabs>
          <w:tab w:val="num" w:pos="28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1417"/>
        <w:gridCol w:w="2552"/>
        <w:gridCol w:w="2268"/>
      </w:tblGrid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artikel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količina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€/ enoto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brez DDV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količina x €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brez DDV</w:t>
            </w:r>
            <w:r w:rsidRPr="001417DD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/enoto</w:t>
            </w: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Srajca kratek rokav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Srajca dolg rokav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Hlače poletne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Hlače zimske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Vetrni jopič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Pulover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Polo majica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Kolesarske hlače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Motoristična jakna,hlače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Kravata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Kapa poletna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Kapa zimska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Epolete, emblemi, položajne oznake, vezenje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>SKUPAJ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</w:tbl>
    <w:p w:rsidR="00694CE8" w:rsidRDefault="00694CE8" w:rsidP="00694CE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6687">
        <w:rPr>
          <w:rFonts w:asciiTheme="minorHAnsi" w:hAnsiTheme="minorHAnsi" w:cstheme="minorHAnsi"/>
          <w:bCs/>
          <w:sz w:val="22"/>
          <w:szCs w:val="22"/>
        </w:rPr>
        <w:t xml:space="preserve">K letni uniformi sodijo naslednji artikli pod </w:t>
      </w:r>
      <w:proofErr w:type="spellStart"/>
      <w:r w:rsidRPr="00056687">
        <w:rPr>
          <w:rFonts w:asciiTheme="minorHAnsi" w:hAnsiTheme="minorHAnsi" w:cstheme="minorHAnsi"/>
          <w:bCs/>
          <w:sz w:val="22"/>
          <w:szCs w:val="22"/>
        </w:rPr>
        <w:t>zap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. št.: 1, 3, 5, 7, 8, 9, 11.</w:t>
      </w: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6687">
        <w:rPr>
          <w:rFonts w:asciiTheme="minorHAnsi" w:hAnsiTheme="minorHAnsi" w:cstheme="minorHAnsi"/>
          <w:bCs/>
          <w:sz w:val="22"/>
          <w:szCs w:val="22"/>
        </w:rPr>
        <w:t>Ostali artikli, to so pod št. 2, 4, 6, 12 pa spadajo k zimski uniformi.</w:t>
      </w: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6687">
        <w:rPr>
          <w:rFonts w:asciiTheme="minorHAnsi" w:hAnsiTheme="minorHAnsi" w:cstheme="minorHAnsi"/>
          <w:bCs/>
          <w:sz w:val="22"/>
          <w:szCs w:val="22"/>
        </w:rPr>
        <w:t xml:space="preserve">Artikel pod </w:t>
      </w:r>
      <w:proofErr w:type="spellStart"/>
      <w:r w:rsidRPr="00056687">
        <w:rPr>
          <w:rFonts w:asciiTheme="minorHAnsi" w:hAnsiTheme="minorHAnsi" w:cstheme="minorHAnsi"/>
          <w:bCs/>
          <w:sz w:val="22"/>
          <w:szCs w:val="22"/>
        </w:rPr>
        <w:t>zap</w:t>
      </w:r>
      <w:proofErr w:type="spellEnd"/>
      <w:r w:rsidRPr="00056687">
        <w:rPr>
          <w:rFonts w:asciiTheme="minorHAnsi" w:hAnsiTheme="minorHAnsi" w:cstheme="minorHAnsi"/>
          <w:bCs/>
          <w:sz w:val="22"/>
          <w:szCs w:val="22"/>
        </w:rPr>
        <w:t xml:space="preserve">. št. </w:t>
      </w:r>
      <w:r>
        <w:rPr>
          <w:rFonts w:asciiTheme="minorHAnsi" w:hAnsiTheme="minorHAnsi" w:cstheme="minorHAnsi"/>
          <w:bCs/>
          <w:sz w:val="22"/>
          <w:szCs w:val="22"/>
        </w:rPr>
        <w:t xml:space="preserve">10 in </w:t>
      </w:r>
      <w:r w:rsidRPr="00056687">
        <w:rPr>
          <w:rFonts w:asciiTheme="minorHAnsi" w:hAnsiTheme="minorHAnsi" w:cstheme="minorHAnsi"/>
          <w:bCs/>
          <w:sz w:val="22"/>
          <w:szCs w:val="22"/>
        </w:rPr>
        <w:t>13 sodi tako k letni kot zimski uniformi.</w:t>
      </w:r>
    </w:p>
    <w:p w:rsidR="00694CE8" w:rsidRDefault="00694CE8" w:rsidP="00694CE8">
      <w:pPr>
        <w:pStyle w:val="ListParagraph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94CE8" w:rsidRDefault="00694CE8" w:rsidP="00694CE8">
      <w:pPr>
        <w:pStyle w:val="ListParagraph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94CE8" w:rsidRDefault="00694CE8" w:rsidP="00694CE8">
      <w:pPr>
        <w:pStyle w:val="ListParagraph"/>
        <w:numPr>
          <w:ilvl w:val="1"/>
          <w:numId w:val="6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Inšpektorji</w:t>
      </w:r>
    </w:p>
    <w:p w:rsidR="00694CE8" w:rsidRDefault="00694CE8" w:rsidP="00694CE8">
      <w:pPr>
        <w:pStyle w:val="ListParagraph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1417"/>
        <w:gridCol w:w="2552"/>
        <w:gridCol w:w="2268"/>
      </w:tblGrid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>artikel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>količina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>€/enoto</w:t>
            </w:r>
            <w:r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 xml:space="preserve"> brez DDV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>količina x €/enoto</w:t>
            </w:r>
            <w:r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 xml:space="preserve"> brez DDV</w:t>
            </w: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Hlače zimske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Hlače letne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Srajce zimske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Srajce letne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Bunde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Vetrni jopič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Zimske rokavice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Kravata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Jopica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Vezenje označb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  <w:r w:rsidRPr="001417DD"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  <w:t>SKUPAJ</w:t>
            </w: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b/>
                <w:sz w:val="22"/>
                <w:szCs w:val="22"/>
                <w:lang w:eastAsia="en-US"/>
              </w:rPr>
            </w:pPr>
          </w:p>
        </w:tc>
      </w:tr>
      <w:tr w:rsidR="00694CE8" w:rsidRPr="001417DD" w:rsidTr="00C47803">
        <w:tc>
          <w:tcPr>
            <w:tcW w:w="534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694CE8" w:rsidRPr="001417DD" w:rsidRDefault="00694CE8" w:rsidP="00C47803">
            <w:pPr>
              <w:jc w:val="center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</w:p>
        </w:tc>
      </w:tr>
    </w:tbl>
    <w:p w:rsidR="00694CE8" w:rsidRDefault="00694CE8" w:rsidP="00694CE8">
      <w:pPr>
        <w:pStyle w:val="ListParagraph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6687">
        <w:rPr>
          <w:rFonts w:asciiTheme="minorHAnsi" w:hAnsiTheme="minorHAnsi" w:cstheme="minorHAnsi"/>
          <w:bCs/>
          <w:sz w:val="22"/>
          <w:szCs w:val="22"/>
        </w:rPr>
        <w:lastRenderedPageBreak/>
        <w:t>K letni uniformi sodijo naslednji ar</w:t>
      </w:r>
      <w:r>
        <w:rPr>
          <w:rFonts w:asciiTheme="minorHAnsi" w:hAnsiTheme="minorHAnsi" w:cstheme="minorHAnsi"/>
          <w:bCs/>
          <w:sz w:val="22"/>
          <w:szCs w:val="22"/>
        </w:rPr>
        <w:t xml:space="preserve">tikli pod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zap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. št.: 2, 4, 6.</w:t>
      </w: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56687">
        <w:rPr>
          <w:rFonts w:asciiTheme="minorHAnsi" w:hAnsiTheme="minorHAnsi" w:cstheme="minorHAnsi"/>
          <w:bCs/>
          <w:sz w:val="22"/>
          <w:szCs w:val="22"/>
        </w:rPr>
        <w:t xml:space="preserve">Ostali artikli, to </w:t>
      </w:r>
      <w:r>
        <w:rPr>
          <w:rFonts w:asciiTheme="minorHAnsi" w:hAnsiTheme="minorHAnsi" w:cstheme="minorHAnsi"/>
          <w:bCs/>
          <w:sz w:val="22"/>
          <w:szCs w:val="22"/>
        </w:rPr>
        <w:t xml:space="preserve">so pod št. 1, 3, 9 </w:t>
      </w:r>
      <w:r w:rsidRPr="00056687">
        <w:rPr>
          <w:rFonts w:asciiTheme="minorHAnsi" w:hAnsiTheme="minorHAnsi" w:cstheme="minorHAnsi"/>
          <w:bCs/>
          <w:sz w:val="22"/>
          <w:szCs w:val="22"/>
        </w:rPr>
        <w:t>pa spadajo k zimski uniformi.</w:t>
      </w: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4CE8" w:rsidRPr="00056687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Artikel pod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zap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. št. 8 in 10</w:t>
      </w:r>
      <w:r w:rsidRPr="00056687">
        <w:rPr>
          <w:rFonts w:asciiTheme="minorHAnsi" w:hAnsiTheme="minorHAnsi" w:cstheme="minorHAnsi"/>
          <w:bCs/>
          <w:sz w:val="22"/>
          <w:szCs w:val="22"/>
        </w:rPr>
        <w:t xml:space="preserve"> sodi tako k letni kot zimski uniformi.</w:t>
      </w:r>
    </w:p>
    <w:p w:rsidR="00694CE8" w:rsidRDefault="00694CE8" w:rsidP="00694CE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94CE8" w:rsidRDefault="00694CE8" w:rsidP="00694CE8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09F3">
        <w:rPr>
          <w:rFonts w:asciiTheme="minorHAnsi" w:hAnsiTheme="minorHAnsi" w:cstheme="minorHAnsi"/>
          <w:bCs/>
          <w:sz w:val="22"/>
          <w:szCs w:val="22"/>
        </w:rPr>
        <w:t>Vzorci inšpektorske uniforme so sestavni del ponudbe in jih je možno videti na spletni strani naročnika.</w:t>
      </w:r>
    </w:p>
    <w:p w:rsidR="00983170" w:rsidRDefault="00983170" w:rsidP="0098317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94CE8" w:rsidRDefault="00694CE8" w:rsidP="0098317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:rsidR="00983170" w:rsidRPr="00056687" w:rsidRDefault="00983170" w:rsidP="00983170">
      <w:pPr>
        <w:pStyle w:val="ListParagraph"/>
        <w:numPr>
          <w:ilvl w:val="1"/>
          <w:numId w:val="6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PREDRAČUN SKUPAJ redarji in inšpektorji</w:t>
      </w:r>
    </w:p>
    <w:p w:rsidR="00983170" w:rsidRPr="00033660" w:rsidRDefault="00983170" w:rsidP="00983170">
      <w:pPr>
        <w:jc w:val="center"/>
        <w:rPr>
          <w:rFonts w:ascii="Arial" w:hAnsi="Arial" w:cs="Arial"/>
          <w:i/>
          <w:sz w:val="22"/>
          <w:szCs w:val="22"/>
          <w:lang w:val="it-IT"/>
        </w:rPr>
      </w:pP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  <w:r w:rsidRPr="00415B7A">
        <w:rPr>
          <w:rFonts w:ascii="Arial" w:hAnsi="Arial" w:cs="Arial"/>
          <w:sz w:val="22"/>
          <w:szCs w:val="22"/>
        </w:rPr>
        <w:tab/>
      </w:r>
    </w:p>
    <w:p w:rsidR="00983170" w:rsidRPr="00415B7A" w:rsidRDefault="00983170" w:rsidP="00983170">
      <w:pPr>
        <w:rPr>
          <w:rFonts w:ascii="Arial" w:hAnsi="Arial" w:cs="Arial"/>
          <w:sz w:val="22"/>
          <w:szCs w:val="22"/>
        </w:rPr>
      </w:pPr>
    </w:p>
    <w:tbl>
      <w:tblPr>
        <w:tblW w:w="7144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600"/>
        <w:gridCol w:w="3544"/>
      </w:tblGrid>
      <w:tr w:rsidR="00983170" w:rsidRPr="00E8557E" w:rsidTr="000865D9">
        <w:trPr>
          <w:cantSplit/>
          <w:trHeight w:val="629"/>
          <w:tblHeader/>
        </w:trPr>
        <w:tc>
          <w:tcPr>
            <w:tcW w:w="3600" w:type="dxa"/>
            <w:vAlign w:val="center"/>
          </w:tcPr>
          <w:p w:rsidR="00983170" w:rsidRPr="00056687" w:rsidRDefault="00983170" w:rsidP="000865D9">
            <w:pPr>
              <w:rPr>
                <w:rFonts w:ascii="MetaPro-Normal" w:hAnsi="MetaPro-Normal"/>
                <w:sz w:val="20"/>
                <w:szCs w:val="20"/>
              </w:rPr>
            </w:pPr>
            <w:r w:rsidRPr="00056687">
              <w:rPr>
                <w:rFonts w:ascii="MetaPro-Normal" w:hAnsi="MetaPro-Normal"/>
                <w:sz w:val="20"/>
                <w:szCs w:val="20"/>
              </w:rPr>
              <w:t>CENA ZA 2.1. brez DDV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vAlign w:val="center"/>
          </w:tcPr>
          <w:p w:rsidR="00983170" w:rsidRPr="00E8557E" w:rsidRDefault="00983170" w:rsidP="000865D9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  <w:r w:rsidRPr="00E8557E">
              <w:rPr>
                <w:rFonts w:ascii="MetaPro-Normal" w:hAnsi="MetaPro-Normal"/>
                <w:sz w:val="20"/>
                <w:szCs w:val="20"/>
              </w:rPr>
              <w:fldChar w:fldCharType="begin">
                <w:ffData>
                  <w:name w:val="Besedilo383"/>
                  <w:enabled/>
                  <w:calcOnExit w:val="0"/>
                  <w:textInput/>
                </w:ffData>
              </w:fldChar>
            </w:r>
            <w:r w:rsidRPr="00E8557E">
              <w:rPr>
                <w:rFonts w:ascii="MetaPro-Normal" w:hAnsi="MetaPro-Normal"/>
                <w:sz w:val="20"/>
                <w:szCs w:val="20"/>
              </w:rPr>
              <w:instrText xml:space="preserve"> FORMTEXT </w:instrText>
            </w:r>
            <w:r w:rsidRPr="00E8557E">
              <w:rPr>
                <w:rFonts w:ascii="MetaPro-Normal" w:hAnsi="MetaPro-Normal"/>
                <w:sz w:val="20"/>
                <w:szCs w:val="20"/>
              </w:rPr>
            </w:r>
            <w:r w:rsidRPr="00E8557E">
              <w:rPr>
                <w:rFonts w:ascii="MetaPro-Normal" w:hAnsi="MetaPro-Normal"/>
                <w:sz w:val="20"/>
                <w:szCs w:val="20"/>
              </w:rPr>
              <w:fldChar w:fldCharType="end"/>
            </w:r>
          </w:p>
        </w:tc>
      </w:tr>
      <w:tr w:rsidR="00983170" w:rsidRPr="00E8557E" w:rsidTr="000865D9">
        <w:trPr>
          <w:cantSplit/>
          <w:trHeight w:val="629"/>
          <w:tblHeader/>
        </w:trPr>
        <w:tc>
          <w:tcPr>
            <w:tcW w:w="3600" w:type="dxa"/>
            <w:vAlign w:val="center"/>
          </w:tcPr>
          <w:p w:rsidR="00983170" w:rsidRPr="00056687" w:rsidRDefault="00983170" w:rsidP="000865D9">
            <w:pPr>
              <w:rPr>
                <w:rFonts w:ascii="MetaPro-Normal" w:hAnsi="MetaPro-Normal"/>
                <w:sz w:val="20"/>
                <w:szCs w:val="20"/>
              </w:rPr>
            </w:pPr>
            <w:r w:rsidRPr="00056687">
              <w:rPr>
                <w:rFonts w:ascii="MetaPro-Normal" w:hAnsi="MetaPro-Normal"/>
                <w:sz w:val="20"/>
                <w:szCs w:val="20"/>
              </w:rPr>
              <w:t>CENA ZA 2.2. brez DDV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vAlign w:val="center"/>
          </w:tcPr>
          <w:p w:rsidR="00983170" w:rsidRPr="00E8557E" w:rsidRDefault="00983170" w:rsidP="000865D9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983170" w:rsidRPr="00E8557E" w:rsidTr="000865D9">
        <w:trPr>
          <w:cantSplit/>
          <w:trHeight w:val="629"/>
          <w:tblHeader/>
        </w:trPr>
        <w:tc>
          <w:tcPr>
            <w:tcW w:w="3600" w:type="dxa"/>
            <w:vAlign w:val="center"/>
          </w:tcPr>
          <w:p w:rsidR="00983170" w:rsidRDefault="00983170" w:rsidP="000865D9">
            <w:pPr>
              <w:rPr>
                <w:rFonts w:ascii="MetaPro-Normal" w:hAnsi="MetaPro-Normal"/>
                <w:b/>
                <w:sz w:val="20"/>
                <w:szCs w:val="20"/>
              </w:rPr>
            </w:pPr>
          </w:p>
          <w:p w:rsidR="00983170" w:rsidRDefault="00983170" w:rsidP="000865D9">
            <w:pPr>
              <w:rPr>
                <w:rFonts w:ascii="MetaPro-Normal" w:hAnsi="MetaPro-Normal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6" w:space="0" w:color="000000"/>
            </w:tcBorders>
            <w:vAlign w:val="center"/>
          </w:tcPr>
          <w:p w:rsidR="00983170" w:rsidRPr="00E8557E" w:rsidRDefault="00983170" w:rsidP="000865D9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983170" w:rsidRPr="00E8557E" w:rsidTr="000865D9">
        <w:trPr>
          <w:cantSplit/>
          <w:trHeight w:val="629"/>
          <w:tblHeader/>
        </w:trPr>
        <w:tc>
          <w:tcPr>
            <w:tcW w:w="3600" w:type="dxa"/>
            <w:vAlign w:val="center"/>
          </w:tcPr>
          <w:p w:rsidR="00983170" w:rsidRDefault="00983170" w:rsidP="000865D9">
            <w:pPr>
              <w:rPr>
                <w:rFonts w:ascii="MetaPro-Normal" w:hAnsi="MetaPro-Normal"/>
                <w:b/>
                <w:sz w:val="20"/>
                <w:szCs w:val="20"/>
              </w:rPr>
            </w:pPr>
            <w:r>
              <w:rPr>
                <w:rFonts w:ascii="MetaPro-Normal" w:hAnsi="MetaPro-Normal"/>
                <w:b/>
                <w:sz w:val="20"/>
                <w:szCs w:val="20"/>
              </w:rPr>
              <w:t>SKUPAJ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vAlign w:val="center"/>
          </w:tcPr>
          <w:p w:rsidR="00983170" w:rsidRPr="00E8557E" w:rsidRDefault="00983170" w:rsidP="000865D9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983170" w:rsidRPr="00E8557E" w:rsidTr="000865D9">
        <w:trPr>
          <w:trHeight w:val="553"/>
          <w:tblHeader/>
        </w:trPr>
        <w:tc>
          <w:tcPr>
            <w:tcW w:w="3600" w:type="dxa"/>
            <w:vAlign w:val="center"/>
          </w:tcPr>
          <w:p w:rsidR="00983170" w:rsidRPr="00AD620C" w:rsidRDefault="00983170" w:rsidP="000865D9">
            <w:pPr>
              <w:rPr>
                <w:rFonts w:ascii="MetaPro-Normal" w:hAnsi="MetaPro-Normal"/>
                <w:b/>
                <w:sz w:val="20"/>
                <w:szCs w:val="20"/>
              </w:rPr>
            </w:pPr>
            <w:r w:rsidRPr="00AD620C">
              <w:rPr>
                <w:rFonts w:ascii="MetaPro-Normal" w:hAnsi="MetaPro-Normal"/>
                <w:b/>
                <w:sz w:val="20"/>
                <w:szCs w:val="20"/>
              </w:rPr>
              <w:t>DDV</w:t>
            </w:r>
          </w:p>
        </w:tc>
        <w:tc>
          <w:tcPr>
            <w:tcW w:w="3544" w:type="dxa"/>
            <w:vAlign w:val="center"/>
          </w:tcPr>
          <w:p w:rsidR="00983170" w:rsidRPr="00E8557E" w:rsidRDefault="00983170" w:rsidP="000865D9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  <w:tr w:rsidR="00983170" w:rsidRPr="00E8557E" w:rsidTr="000865D9">
        <w:trPr>
          <w:trHeight w:val="553"/>
          <w:tblHeader/>
        </w:trPr>
        <w:tc>
          <w:tcPr>
            <w:tcW w:w="3600" w:type="dxa"/>
            <w:vAlign w:val="center"/>
          </w:tcPr>
          <w:p w:rsidR="00983170" w:rsidRPr="00AD620C" w:rsidRDefault="00983170" w:rsidP="000865D9">
            <w:pPr>
              <w:rPr>
                <w:rFonts w:ascii="MetaPro-Normal" w:hAnsi="MetaPro-Normal"/>
                <w:b/>
                <w:sz w:val="20"/>
                <w:szCs w:val="20"/>
              </w:rPr>
            </w:pPr>
            <w:r w:rsidRPr="00AD620C">
              <w:rPr>
                <w:rFonts w:ascii="MetaPro-Normal" w:hAnsi="MetaPro-Normal"/>
                <w:b/>
                <w:sz w:val="20"/>
                <w:szCs w:val="20"/>
              </w:rPr>
              <w:t>Končna ponudbena cena</w:t>
            </w:r>
            <w:r>
              <w:rPr>
                <w:rFonts w:ascii="MetaPro-Normal" w:hAnsi="MetaPro-Normal"/>
                <w:b/>
                <w:sz w:val="20"/>
                <w:szCs w:val="20"/>
              </w:rPr>
              <w:t xml:space="preserve"> z DDV</w:t>
            </w:r>
          </w:p>
        </w:tc>
        <w:tc>
          <w:tcPr>
            <w:tcW w:w="3544" w:type="dxa"/>
            <w:vAlign w:val="center"/>
          </w:tcPr>
          <w:p w:rsidR="00983170" w:rsidRPr="00E8557E" w:rsidRDefault="00983170" w:rsidP="000865D9">
            <w:pPr>
              <w:ind w:right="-1492"/>
              <w:rPr>
                <w:rFonts w:ascii="MetaPro-Normal" w:hAnsi="MetaPro-Normal"/>
                <w:sz w:val="20"/>
                <w:szCs w:val="20"/>
              </w:rPr>
            </w:pPr>
          </w:p>
        </w:tc>
      </w:tr>
    </w:tbl>
    <w:p w:rsidR="00983170" w:rsidRPr="00415B7A" w:rsidRDefault="00983170" w:rsidP="00983170">
      <w:pPr>
        <w:jc w:val="both"/>
        <w:rPr>
          <w:rFonts w:ascii="Arial" w:hAnsi="Arial" w:cs="Arial"/>
          <w:b/>
          <w:sz w:val="22"/>
          <w:szCs w:val="22"/>
        </w:rPr>
      </w:pPr>
    </w:p>
    <w:p w:rsidR="00983170" w:rsidRDefault="00983170" w:rsidP="00983170">
      <w:pPr>
        <w:jc w:val="both"/>
        <w:rPr>
          <w:rFonts w:ascii="Arial" w:hAnsi="Arial" w:cs="Arial"/>
          <w:b/>
          <w:sz w:val="22"/>
          <w:szCs w:val="22"/>
        </w:rPr>
      </w:pPr>
    </w:p>
    <w:p w:rsidR="00983170" w:rsidRDefault="00983170" w:rsidP="0098317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83170" w:rsidRDefault="00983170" w:rsidP="0098317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83170" w:rsidRPr="0062563D" w:rsidRDefault="00983170" w:rsidP="00983170">
      <w:pPr>
        <w:pStyle w:val="BodyText2"/>
        <w:rPr>
          <w:rFonts w:ascii="Arial" w:hAnsi="Arial" w:cs="Arial"/>
          <w:b/>
          <w:sz w:val="22"/>
          <w:szCs w:val="22"/>
        </w:rPr>
      </w:pPr>
    </w:p>
    <w:p w:rsidR="00983170" w:rsidRDefault="00983170" w:rsidP="00983170">
      <w:pPr>
        <w:pStyle w:val="BodyText2"/>
        <w:rPr>
          <w:rFonts w:ascii="Arial" w:hAnsi="Arial" w:cs="Arial"/>
          <w:b/>
          <w:sz w:val="22"/>
          <w:szCs w:val="22"/>
        </w:rPr>
      </w:pPr>
    </w:p>
    <w:p w:rsidR="00983170" w:rsidRPr="0062563D" w:rsidRDefault="00983170" w:rsidP="00983170">
      <w:pPr>
        <w:pStyle w:val="BodyText2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>Kraj in datum:</w:t>
      </w:r>
    </w:p>
    <w:p w:rsidR="00983170" w:rsidRPr="0062563D" w:rsidRDefault="00983170" w:rsidP="00983170">
      <w:pPr>
        <w:pStyle w:val="BodyText2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  <w:t>PONUDNIK:</w:t>
      </w:r>
    </w:p>
    <w:p w:rsidR="00983170" w:rsidRPr="0062563D" w:rsidRDefault="00983170" w:rsidP="00983170">
      <w:pPr>
        <w:pStyle w:val="BodyText2"/>
        <w:rPr>
          <w:rFonts w:ascii="Arial" w:hAnsi="Arial" w:cs="Arial"/>
          <w:b/>
          <w:sz w:val="22"/>
          <w:szCs w:val="22"/>
        </w:rPr>
      </w:pP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</w:r>
      <w:r w:rsidRPr="0062563D">
        <w:rPr>
          <w:rFonts w:ascii="Arial" w:hAnsi="Arial" w:cs="Arial"/>
          <w:b/>
          <w:sz w:val="22"/>
          <w:szCs w:val="22"/>
        </w:rPr>
        <w:tab/>
        <w:t>(žig in podpis odgovorne osebe ponudnika)</w:t>
      </w:r>
    </w:p>
    <w:p w:rsidR="00983170" w:rsidRPr="00336326" w:rsidRDefault="00983170" w:rsidP="00983170"/>
    <w:p w:rsidR="00FB3F6B" w:rsidRPr="00056687" w:rsidRDefault="00FB3F6B" w:rsidP="0005668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FB3F6B" w:rsidRPr="000566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F98" w:rsidRDefault="00373F98" w:rsidP="00605E80">
      <w:r>
        <w:separator/>
      </w:r>
    </w:p>
  </w:endnote>
  <w:endnote w:type="continuationSeparator" w:id="0">
    <w:p w:rsidR="00373F98" w:rsidRDefault="00373F98" w:rsidP="0060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70" w:rsidRDefault="009831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E80" w:rsidRPr="00605E80" w:rsidRDefault="00C23EA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>
      <w:rPr>
        <w:rFonts w:asciiTheme="majorHAnsi" w:eastAsiaTheme="majorEastAsia" w:hAnsiTheme="majorHAnsi" w:cstheme="majorBidi"/>
        <w:sz w:val="18"/>
        <w:szCs w:val="18"/>
      </w:rPr>
      <w:t xml:space="preserve">Mestna občina Koper 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983170">
      <w:rPr>
        <w:rFonts w:asciiTheme="majorHAnsi" w:eastAsiaTheme="majorEastAsia" w:hAnsiTheme="majorHAnsi" w:cstheme="majorBidi"/>
        <w:sz w:val="18"/>
        <w:szCs w:val="18"/>
      </w:rPr>
      <w:t>- Dobava uniform</w:t>
    </w:r>
    <w:r w:rsidR="00605E80" w:rsidRPr="00605E80">
      <w:rPr>
        <w:rFonts w:asciiTheme="majorHAnsi" w:eastAsiaTheme="majorEastAsia" w:hAnsiTheme="majorHAnsi" w:cstheme="majorBidi"/>
        <w:sz w:val="18"/>
        <w:szCs w:val="18"/>
      </w:rPr>
      <w:ptab w:relativeTo="margin" w:alignment="right" w:leader="none"/>
    </w:r>
  </w:p>
  <w:p w:rsidR="00605E80" w:rsidRPr="00605E80" w:rsidRDefault="00605E80">
    <w:pPr>
      <w:pStyle w:val="Footer"/>
      <w:rPr>
        <w:rFonts w:asciiTheme="majorHAnsi" w:hAnsiTheme="maj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70" w:rsidRDefault="009831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F98" w:rsidRDefault="00373F98" w:rsidP="00605E80">
      <w:r>
        <w:separator/>
      </w:r>
    </w:p>
  </w:footnote>
  <w:footnote w:type="continuationSeparator" w:id="0">
    <w:p w:rsidR="00373F98" w:rsidRDefault="00373F98" w:rsidP="00605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70" w:rsidRDefault="009831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  <w:lang w:eastAsia="en-US"/>
      </w:rPr>
      <w:alias w:val="Naslov"/>
      <w:id w:val="77738743"/>
      <w:placeholder>
        <w:docPart w:val="FFA65564027B4A159F496A8A61FBE3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5E80" w:rsidRPr="00C23EA5" w:rsidRDefault="0098317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Obrazec13</w:t>
        </w:r>
        <w:r w:rsidR="00C23EA5" w:rsidRPr="00C23EA5"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–</w:t>
        </w:r>
        <w:r w:rsidR="001417DD">
          <w:rPr>
            <w:rFonts w:asciiTheme="majorHAnsi" w:eastAsiaTheme="majorEastAsia" w:hAnsiTheme="majorHAnsi" w:cstheme="majorBidi"/>
            <w:sz w:val="20"/>
            <w:szCs w:val="20"/>
            <w:lang w:eastAsia="en-US"/>
          </w:rPr>
          <w:t>PREDRAČUN</w:t>
        </w:r>
      </w:p>
    </w:sdtContent>
  </w:sdt>
  <w:p w:rsidR="00605E80" w:rsidRDefault="00605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70" w:rsidRDefault="009831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853B9B"/>
    <w:multiLevelType w:val="multilevel"/>
    <w:tmpl w:val="088AE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3CC22A9"/>
    <w:multiLevelType w:val="hybridMultilevel"/>
    <w:tmpl w:val="D44C1858"/>
    <w:lvl w:ilvl="0" w:tplc="B20883CA">
      <w:start w:val="4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80"/>
    <w:rsid w:val="00021181"/>
    <w:rsid w:val="00052256"/>
    <w:rsid w:val="00056687"/>
    <w:rsid w:val="001417DD"/>
    <w:rsid w:val="001A15F1"/>
    <w:rsid w:val="001B17B6"/>
    <w:rsid w:val="002A5535"/>
    <w:rsid w:val="00320CD5"/>
    <w:rsid w:val="00324860"/>
    <w:rsid w:val="00373F98"/>
    <w:rsid w:val="004B5FC8"/>
    <w:rsid w:val="0055065B"/>
    <w:rsid w:val="005A3110"/>
    <w:rsid w:val="005C335C"/>
    <w:rsid w:val="00605E80"/>
    <w:rsid w:val="0065408A"/>
    <w:rsid w:val="00694CE8"/>
    <w:rsid w:val="006C2808"/>
    <w:rsid w:val="00785EB9"/>
    <w:rsid w:val="007A4A28"/>
    <w:rsid w:val="00821C4A"/>
    <w:rsid w:val="00887AD3"/>
    <w:rsid w:val="008B747A"/>
    <w:rsid w:val="008C7C20"/>
    <w:rsid w:val="00983170"/>
    <w:rsid w:val="009908BA"/>
    <w:rsid w:val="00995561"/>
    <w:rsid w:val="00AF6BF4"/>
    <w:rsid w:val="00B13F20"/>
    <w:rsid w:val="00B47247"/>
    <w:rsid w:val="00C23EA5"/>
    <w:rsid w:val="00C47302"/>
    <w:rsid w:val="00C53DD6"/>
    <w:rsid w:val="00C96CB7"/>
    <w:rsid w:val="00CB6EAF"/>
    <w:rsid w:val="00DB0577"/>
    <w:rsid w:val="00DF2C15"/>
    <w:rsid w:val="00E10B12"/>
    <w:rsid w:val="00E6498D"/>
    <w:rsid w:val="00E82CFB"/>
    <w:rsid w:val="00EF67CD"/>
    <w:rsid w:val="00F872EA"/>
    <w:rsid w:val="00FB3F6B"/>
    <w:rsid w:val="00FC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logLevo125cm">
    <w:name w:val="Slog Levo:  125 cm"/>
    <w:basedOn w:val="Normal"/>
    <w:autoRedefine/>
    <w:rsid w:val="00C23EA5"/>
    <w:pPr>
      <w:spacing w:after="120"/>
      <w:jc w:val="both"/>
    </w:pPr>
    <w:rPr>
      <w:sz w:val="22"/>
      <w:szCs w:val="36"/>
    </w:rPr>
  </w:style>
  <w:style w:type="paragraph" w:styleId="CommentText">
    <w:name w:val="annotation text"/>
    <w:basedOn w:val="Normal"/>
    <w:link w:val="CommentTextChar"/>
    <w:semiHidden/>
    <w:rsid w:val="00C23EA5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3EA5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align-justify">
    <w:name w:val="align-justify"/>
    <w:basedOn w:val="Normal"/>
    <w:rsid w:val="00C23EA5"/>
    <w:pPr>
      <w:spacing w:before="100" w:beforeAutospacing="1" w:after="100" w:afterAutospacing="1"/>
      <w:jc w:val="both"/>
    </w:pPr>
    <w:rPr>
      <w:rFonts w:ascii="Verdana" w:hAnsi="Verdana"/>
      <w:color w:val="333333"/>
      <w:sz w:val="9"/>
      <w:szCs w:val="9"/>
    </w:rPr>
  </w:style>
  <w:style w:type="paragraph" w:customStyle="1" w:styleId="CharChar1Char0">
    <w:name w:val="Char Char1 Char"/>
    <w:basedOn w:val="Normal"/>
    <w:rsid w:val="00C23EA5"/>
    <w:pPr>
      <w:spacing w:after="160" w:line="240" w:lineRule="exact"/>
    </w:pPr>
    <w:rPr>
      <w:rFonts w:ascii="Tahoma" w:hAnsi="Tahoma"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23EA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A3110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B3F6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3F6B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5E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E80"/>
  </w:style>
  <w:style w:type="paragraph" w:styleId="Footer">
    <w:name w:val="footer"/>
    <w:basedOn w:val="Normal"/>
    <w:link w:val="FooterChar"/>
    <w:unhideWhenUsed/>
    <w:rsid w:val="00605E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E80"/>
  </w:style>
  <w:style w:type="paragraph" w:styleId="BalloonText">
    <w:name w:val="Balloon Text"/>
    <w:basedOn w:val="Normal"/>
    <w:link w:val="BalloonTextChar"/>
    <w:uiPriority w:val="99"/>
    <w:semiHidden/>
    <w:unhideWhenUsed/>
    <w:rsid w:val="0060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0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DF2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rsid w:val="00DF2C1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customStyle="1" w:styleId="CharChar1Char">
    <w:name w:val="Char Char1 Char"/>
    <w:basedOn w:val="Normal"/>
    <w:rsid w:val="00DF2C1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CB6EAF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CB6E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logLevo125cm">
    <w:name w:val="Slog Levo:  125 cm"/>
    <w:basedOn w:val="Normal"/>
    <w:autoRedefine/>
    <w:rsid w:val="00C23EA5"/>
    <w:pPr>
      <w:spacing w:after="120"/>
      <w:jc w:val="both"/>
    </w:pPr>
    <w:rPr>
      <w:sz w:val="22"/>
      <w:szCs w:val="36"/>
    </w:rPr>
  </w:style>
  <w:style w:type="paragraph" w:styleId="CommentText">
    <w:name w:val="annotation text"/>
    <w:basedOn w:val="Normal"/>
    <w:link w:val="CommentTextChar"/>
    <w:semiHidden/>
    <w:rsid w:val="00C23EA5"/>
    <w:pPr>
      <w:spacing w:after="120"/>
      <w:jc w:val="both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3EA5"/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align-justify">
    <w:name w:val="align-justify"/>
    <w:basedOn w:val="Normal"/>
    <w:rsid w:val="00C23EA5"/>
    <w:pPr>
      <w:spacing w:before="100" w:beforeAutospacing="1" w:after="100" w:afterAutospacing="1"/>
      <w:jc w:val="both"/>
    </w:pPr>
    <w:rPr>
      <w:rFonts w:ascii="Verdana" w:hAnsi="Verdana"/>
      <w:color w:val="333333"/>
      <w:sz w:val="9"/>
      <w:szCs w:val="9"/>
    </w:rPr>
  </w:style>
  <w:style w:type="paragraph" w:customStyle="1" w:styleId="CharChar1Char0">
    <w:name w:val="Char Char1 Char"/>
    <w:basedOn w:val="Normal"/>
    <w:rsid w:val="00C23EA5"/>
    <w:pPr>
      <w:spacing w:after="160" w:line="240" w:lineRule="exact"/>
    </w:pPr>
    <w:rPr>
      <w:rFonts w:ascii="Tahoma" w:hAnsi="Tahoma"/>
      <w:color w:val="00000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23EA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A3110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B3F6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3F6B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A65564027B4A159F496A8A61FBE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B4F2E-90E0-46DC-BE62-FF3B4C0F3D9E}"/>
      </w:docPartPr>
      <w:docPartBody>
        <w:p w:rsidR="008A3EFB" w:rsidRDefault="003333EE" w:rsidP="003333EE">
          <w:pPr>
            <w:pStyle w:val="FFA65564027B4A159F496A8A61FBE38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E"/>
    <w:rsid w:val="00100FBB"/>
    <w:rsid w:val="00254DF3"/>
    <w:rsid w:val="003333EE"/>
    <w:rsid w:val="00824DC3"/>
    <w:rsid w:val="008A3EFB"/>
    <w:rsid w:val="00CB5400"/>
    <w:rsid w:val="00DE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65564027B4A159F496A8A61FBE38B">
    <w:name w:val="FFA65564027B4A159F496A8A61FBE38B"/>
    <w:rsid w:val="003333EE"/>
  </w:style>
  <w:style w:type="paragraph" w:customStyle="1" w:styleId="CD66BF92FD124B2794594248BB5B2AB7">
    <w:name w:val="CD66BF92FD124B2794594248BB5B2AB7"/>
    <w:rsid w:val="003333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2BCE9-64B2-4FCF-937C-7FC86953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Obrazec13–PREDRAČUN</vt:lpstr>
    </vt:vector>
  </TitlesOfParts>
  <Company>Mestna občina Koper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Obrazec13–PREDRAČUN</dc:title>
  <dc:creator>Emina Korenika</dc:creator>
  <cp:lastModifiedBy>Alenka Plahuta</cp:lastModifiedBy>
  <cp:revision>3</cp:revision>
  <dcterms:created xsi:type="dcterms:W3CDTF">2013-01-28T12:23:00Z</dcterms:created>
  <dcterms:modified xsi:type="dcterms:W3CDTF">2013-01-29T10:55:00Z</dcterms:modified>
</cp:coreProperties>
</file>