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1166E0" w:rsidRPr="00F822D0" w14:paraId="2C97C3F6" w14:textId="77777777" w:rsidTr="00831257">
        <w:trPr>
          <w:trHeight w:val="20"/>
          <w:jc w:val="center"/>
        </w:trPr>
        <w:tc>
          <w:tcPr>
            <w:tcW w:w="9695" w:type="dxa"/>
            <w:gridSpan w:val="2"/>
            <w:shd w:val="clear" w:color="auto" w:fill="FDB940"/>
            <w:vAlign w:val="center"/>
          </w:tcPr>
          <w:p w14:paraId="52B2B35C" w14:textId="77777777" w:rsidR="001166E0" w:rsidRPr="00F822D0" w:rsidRDefault="001166E0" w:rsidP="00B83186">
            <w:pPr>
              <w:widowControl w:val="0"/>
              <w:spacing w:after="0" w:line="240" w:lineRule="auto"/>
              <w:jc w:val="center"/>
              <w:rPr>
                <w:rFonts w:ascii="Verdana" w:hAnsi="Verdana"/>
                <w:sz w:val="20"/>
                <w:szCs w:val="20"/>
                <w:lang w:val="sl-SI"/>
              </w:rPr>
            </w:pPr>
            <w:bookmarkStart w:id="0" w:name="_GoBack"/>
            <w:bookmarkEnd w:id="0"/>
            <w:r w:rsidRPr="00F822D0">
              <w:rPr>
                <w:rFonts w:ascii="Verdana" w:hAnsi="Verdana"/>
                <w:b/>
                <w:sz w:val="20"/>
                <w:szCs w:val="20"/>
                <w:lang w:val="sl-SI"/>
              </w:rPr>
              <w:t>NAROČNIK</w:t>
            </w:r>
          </w:p>
        </w:tc>
      </w:tr>
      <w:tr w:rsidR="001166E0" w:rsidRPr="00F822D0" w14:paraId="445B6DF1" w14:textId="77777777" w:rsidTr="00831257">
        <w:trPr>
          <w:trHeight w:val="20"/>
          <w:jc w:val="center"/>
        </w:trPr>
        <w:tc>
          <w:tcPr>
            <w:tcW w:w="2405" w:type="dxa"/>
            <w:shd w:val="clear" w:color="auto" w:fill="FDB940"/>
            <w:vAlign w:val="center"/>
          </w:tcPr>
          <w:p w14:paraId="554591A7"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290" w:type="dxa"/>
            <w:shd w:val="clear" w:color="auto" w:fill="FFF0D5"/>
            <w:vAlign w:val="center"/>
          </w:tcPr>
          <w:p w14:paraId="2107D3F7" w14:textId="1224E37B" w:rsidR="001166E0" w:rsidRPr="00DF5D75" w:rsidRDefault="001166E0" w:rsidP="00B83186">
            <w:pPr>
              <w:widowControl w:val="0"/>
              <w:spacing w:after="0" w:line="240" w:lineRule="auto"/>
              <w:rPr>
                <w:rFonts w:ascii="Verdana" w:hAnsi="Verdana"/>
                <w:b/>
                <w:sz w:val="20"/>
                <w:szCs w:val="20"/>
                <w:lang w:val="sl-SI"/>
              </w:rPr>
            </w:pPr>
          </w:p>
        </w:tc>
      </w:tr>
      <w:tr w:rsidR="001166E0" w:rsidRPr="00F822D0" w14:paraId="63D84537" w14:textId="77777777" w:rsidTr="00831257">
        <w:trPr>
          <w:trHeight w:val="20"/>
          <w:jc w:val="center"/>
        </w:trPr>
        <w:tc>
          <w:tcPr>
            <w:tcW w:w="2405" w:type="dxa"/>
            <w:shd w:val="clear" w:color="auto" w:fill="FDB940"/>
            <w:vAlign w:val="center"/>
          </w:tcPr>
          <w:p w14:paraId="02958DC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290" w:type="dxa"/>
            <w:shd w:val="clear" w:color="auto" w:fill="FFF0D5"/>
            <w:vAlign w:val="center"/>
          </w:tcPr>
          <w:p w14:paraId="3E6C8287" w14:textId="2C379EA1"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7849E85D" w14:textId="77777777" w:rsidTr="00831257">
        <w:trPr>
          <w:trHeight w:val="20"/>
          <w:jc w:val="center"/>
        </w:trPr>
        <w:tc>
          <w:tcPr>
            <w:tcW w:w="2405" w:type="dxa"/>
            <w:shd w:val="clear" w:color="auto" w:fill="FDB940"/>
            <w:vAlign w:val="center"/>
          </w:tcPr>
          <w:p w14:paraId="7AE44D7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290" w:type="dxa"/>
            <w:shd w:val="clear" w:color="auto" w:fill="FFF0D5"/>
            <w:vAlign w:val="center"/>
          </w:tcPr>
          <w:p w14:paraId="237C72B9" w14:textId="6CCD6220"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0FF3D49E" w14:textId="77777777" w:rsidTr="00831257">
        <w:trPr>
          <w:trHeight w:val="20"/>
          <w:jc w:val="center"/>
        </w:trPr>
        <w:tc>
          <w:tcPr>
            <w:tcW w:w="2405" w:type="dxa"/>
            <w:shd w:val="clear" w:color="auto" w:fill="FDB940"/>
            <w:vAlign w:val="center"/>
          </w:tcPr>
          <w:p w14:paraId="46642ABA" w14:textId="77777777" w:rsidR="001166E0" w:rsidRPr="00F822D0" w:rsidRDefault="00F97736" w:rsidP="00B83186">
            <w:pPr>
              <w:widowControl w:val="0"/>
              <w:spacing w:after="0" w:line="240" w:lineRule="auto"/>
              <w:rPr>
                <w:rFonts w:ascii="Verdana" w:hAnsi="Verdana"/>
                <w:b/>
                <w:sz w:val="20"/>
                <w:szCs w:val="20"/>
                <w:lang w:val="sl-SI"/>
              </w:rPr>
            </w:pPr>
            <w:r>
              <w:rPr>
                <w:rFonts w:ascii="Verdana" w:hAnsi="Verdana"/>
                <w:b/>
                <w:sz w:val="20"/>
                <w:szCs w:val="20"/>
                <w:lang w:val="sl-SI"/>
              </w:rPr>
              <w:t>Transakcijski</w:t>
            </w:r>
            <w:r w:rsidR="001166E0" w:rsidRPr="00F822D0">
              <w:rPr>
                <w:rFonts w:ascii="Verdana" w:hAnsi="Verdana"/>
                <w:b/>
                <w:sz w:val="20"/>
                <w:szCs w:val="20"/>
                <w:lang w:val="sl-SI"/>
              </w:rPr>
              <w:t xml:space="preserve"> račun</w:t>
            </w:r>
          </w:p>
        </w:tc>
        <w:tc>
          <w:tcPr>
            <w:tcW w:w="7290" w:type="dxa"/>
            <w:shd w:val="clear" w:color="auto" w:fill="FFF0D5"/>
            <w:vAlign w:val="center"/>
          </w:tcPr>
          <w:p w14:paraId="0BC7EDA0" w14:textId="1E3A4516"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6AC50286" w14:textId="77777777" w:rsidTr="00831257">
        <w:trPr>
          <w:trHeight w:val="20"/>
          <w:jc w:val="center"/>
        </w:trPr>
        <w:tc>
          <w:tcPr>
            <w:tcW w:w="2405" w:type="dxa"/>
            <w:shd w:val="clear" w:color="auto" w:fill="FDB940"/>
            <w:vAlign w:val="center"/>
          </w:tcPr>
          <w:p w14:paraId="18305B70"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290" w:type="dxa"/>
            <w:shd w:val="clear" w:color="auto" w:fill="FFF0D5"/>
            <w:vAlign w:val="center"/>
          </w:tcPr>
          <w:p w14:paraId="12308758"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1A2EA9E9" w14:textId="77777777" w:rsidTr="00831257">
        <w:trPr>
          <w:trHeight w:val="20"/>
          <w:jc w:val="center"/>
        </w:trPr>
        <w:tc>
          <w:tcPr>
            <w:tcW w:w="2405" w:type="dxa"/>
            <w:shd w:val="clear" w:color="auto" w:fill="FDB940"/>
            <w:vAlign w:val="center"/>
          </w:tcPr>
          <w:p w14:paraId="22FEBA6E"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290" w:type="dxa"/>
            <w:shd w:val="clear" w:color="auto" w:fill="FFF0D5"/>
            <w:vAlign w:val="center"/>
          </w:tcPr>
          <w:p w14:paraId="2142C93B"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3AFFC983" w14:textId="77777777" w:rsidTr="00831257">
        <w:trPr>
          <w:trHeight w:val="20"/>
          <w:jc w:val="center"/>
        </w:trPr>
        <w:tc>
          <w:tcPr>
            <w:tcW w:w="2405" w:type="dxa"/>
            <w:shd w:val="clear" w:color="auto" w:fill="FDB940"/>
            <w:vAlign w:val="center"/>
          </w:tcPr>
          <w:p w14:paraId="0B392272"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290" w:type="dxa"/>
            <w:shd w:val="clear" w:color="auto" w:fill="FFF0D5"/>
            <w:vAlign w:val="center"/>
          </w:tcPr>
          <w:p w14:paraId="29EB17E1"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5479DB99" w14:textId="77777777" w:rsidTr="00831257">
        <w:trPr>
          <w:trHeight w:val="20"/>
          <w:jc w:val="center"/>
        </w:trPr>
        <w:tc>
          <w:tcPr>
            <w:tcW w:w="2405" w:type="dxa"/>
            <w:shd w:val="clear" w:color="auto" w:fill="FDB940"/>
            <w:vAlign w:val="center"/>
          </w:tcPr>
          <w:p w14:paraId="01E277F7"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290" w:type="dxa"/>
            <w:shd w:val="clear" w:color="auto" w:fill="FFF0D5"/>
            <w:vAlign w:val="center"/>
          </w:tcPr>
          <w:p w14:paraId="6820FC3F" w14:textId="3C79205A" w:rsidR="001166E0" w:rsidRPr="00F822D0" w:rsidRDefault="001166E0" w:rsidP="00B83186">
            <w:pPr>
              <w:widowControl w:val="0"/>
              <w:spacing w:after="0" w:line="240" w:lineRule="auto"/>
              <w:rPr>
                <w:rFonts w:ascii="Verdana" w:hAnsi="Verdana"/>
                <w:sz w:val="20"/>
                <w:szCs w:val="20"/>
                <w:lang w:val="sl-SI"/>
              </w:rPr>
            </w:pPr>
          </w:p>
        </w:tc>
      </w:tr>
    </w:tbl>
    <w:p w14:paraId="61EA5DD6"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8726FD" w:rsidRPr="009925FD" w14:paraId="43BC0699" w14:textId="77777777" w:rsidTr="00831257">
        <w:trPr>
          <w:trHeight w:val="20"/>
          <w:jc w:val="center"/>
        </w:trPr>
        <w:tc>
          <w:tcPr>
            <w:tcW w:w="2405" w:type="dxa"/>
            <w:tcBorders>
              <w:bottom w:val="single" w:sz="4" w:space="0" w:color="auto"/>
            </w:tcBorders>
            <w:shd w:val="clear" w:color="auto" w:fill="FDB940"/>
            <w:vAlign w:val="center"/>
          </w:tcPr>
          <w:p w14:paraId="771ED21A" w14:textId="77777777"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423" w:type="dxa"/>
            <w:tcBorders>
              <w:bottom w:val="single" w:sz="4" w:space="0" w:color="auto"/>
            </w:tcBorders>
            <w:shd w:val="clear" w:color="auto" w:fill="FDB940"/>
            <w:vAlign w:val="center"/>
          </w:tcPr>
          <w:p w14:paraId="746F16D8"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DB940"/>
            <w:vAlign w:val="center"/>
          </w:tcPr>
          <w:p w14:paraId="64CC4FC8"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DB940"/>
            <w:vAlign w:val="center"/>
          </w:tcPr>
          <w:p w14:paraId="0D1D9A7B"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1DD96CE6" w14:textId="77777777" w:rsidTr="00831257">
        <w:trPr>
          <w:trHeight w:val="20"/>
          <w:jc w:val="center"/>
        </w:trPr>
        <w:tc>
          <w:tcPr>
            <w:tcW w:w="2405" w:type="dxa"/>
            <w:shd w:val="clear" w:color="auto" w:fill="FDB940"/>
            <w:vAlign w:val="center"/>
          </w:tcPr>
          <w:p w14:paraId="1F55F1FA"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423" w:type="dxa"/>
            <w:shd w:val="clear" w:color="auto" w:fill="auto"/>
            <w:vAlign w:val="center"/>
          </w:tcPr>
          <w:p w14:paraId="3F30C7DB" w14:textId="77777777"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14:paraId="4D6FF3B3" w14:textId="77777777"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14:paraId="5AE4FD62" w14:textId="77777777" w:rsidR="008726FD" w:rsidRPr="009C2E97" w:rsidRDefault="008726FD" w:rsidP="00B83186">
            <w:pPr>
              <w:widowControl w:val="0"/>
              <w:spacing w:after="0" w:line="240" w:lineRule="auto"/>
              <w:rPr>
                <w:rFonts w:ascii="Verdana" w:hAnsi="Verdana"/>
                <w:b/>
                <w:sz w:val="20"/>
                <w:szCs w:val="20"/>
                <w:lang w:val="sl-SI"/>
              </w:rPr>
            </w:pPr>
          </w:p>
        </w:tc>
      </w:tr>
      <w:tr w:rsidR="008726FD" w:rsidRPr="009925FD" w14:paraId="3BF48C9E" w14:textId="77777777" w:rsidTr="00831257">
        <w:trPr>
          <w:trHeight w:val="20"/>
          <w:jc w:val="center"/>
        </w:trPr>
        <w:tc>
          <w:tcPr>
            <w:tcW w:w="2405" w:type="dxa"/>
            <w:shd w:val="clear" w:color="auto" w:fill="FDB940"/>
            <w:vAlign w:val="center"/>
          </w:tcPr>
          <w:p w14:paraId="3933744B"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423" w:type="dxa"/>
            <w:shd w:val="clear" w:color="auto" w:fill="auto"/>
            <w:vAlign w:val="center"/>
          </w:tcPr>
          <w:p w14:paraId="060138B1"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77E890CD"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3007F2A6"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3020C661" w14:textId="77777777" w:rsidTr="00831257">
        <w:trPr>
          <w:trHeight w:val="20"/>
          <w:jc w:val="center"/>
        </w:trPr>
        <w:tc>
          <w:tcPr>
            <w:tcW w:w="2405" w:type="dxa"/>
            <w:shd w:val="clear" w:color="auto" w:fill="FDB940"/>
            <w:vAlign w:val="center"/>
          </w:tcPr>
          <w:p w14:paraId="2FC359B9"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423" w:type="dxa"/>
            <w:shd w:val="clear" w:color="auto" w:fill="auto"/>
            <w:vAlign w:val="center"/>
          </w:tcPr>
          <w:p w14:paraId="7455DD41"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1D15F8A8"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6EF10A30"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5FBE93E9" w14:textId="77777777" w:rsidTr="00831257">
        <w:trPr>
          <w:trHeight w:val="20"/>
          <w:jc w:val="center"/>
        </w:trPr>
        <w:tc>
          <w:tcPr>
            <w:tcW w:w="2405" w:type="dxa"/>
            <w:shd w:val="clear" w:color="auto" w:fill="FDB940"/>
            <w:vAlign w:val="center"/>
          </w:tcPr>
          <w:p w14:paraId="7467434A" w14:textId="77777777" w:rsidR="008726FD" w:rsidRPr="009925FD" w:rsidRDefault="00F97736" w:rsidP="00B83186">
            <w:pPr>
              <w:widowControl w:val="0"/>
              <w:spacing w:after="0" w:line="240" w:lineRule="auto"/>
              <w:rPr>
                <w:rFonts w:ascii="Verdana" w:hAnsi="Verdana"/>
                <w:sz w:val="20"/>
                <w:szCs w:val="20"/>
                <w:lang w:val="sl-SI"/>
              </w:rPr>
            </w:pPr>
            <w:r>
              <w:rPr>
                <w:rFonts w:ascii="Verdana" w:hAnsi="Verdana"/>
                <w:b/>
                <w:sz w:val="20"/>
                <w:szCs w:val="20"/>
                <w:lang w:val="sl-SI"/>
              </w:rPr>
              <w:t>Transakcijski</w:t>
            </w:r>
            <w:r w:rsidR="008726FD" w:rsidRPr="009925FD">
              <w:rPr>
                <w:rFonts w:ascii="Verdana" w:hAnsi="Verdana"/>
                <w:b/>
                <w:sz w:val="20"/>
                <w:szCs w:val="20"/>
                <w:lang w:val="sl-SI"/>
              </w:rPr>
              <w:t xml:space="preserve"> račun</w:t>
            </w:r>
          </w:p>
        </w:tc>
        <w:tc>
          <w:tcPr>
            <w:tcW w:w="2423" w:type="dxa"/>
            <w:shd w:val="clear" w:color="auto" w:fill="auto"/>
            <w:vAlign w:val="center"/>
          </w:tcPr>
          <w:p w14:paraId="388D55BC"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211EDDD9"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38318B6D"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6BB52DCF" w14:textId="77777777" w:rsidTr="00831257">
        <w:trPr>
          <w:trHeight w:val="20"/>
          <w:jc w:val="center"/>
        </w:trPr>
        <w:tc>
          <w:tcPr>
            <w:tcW w:w="2405" w:type="dxa"/>
            <w:shd w:val="clear" w:color="auto" w:fill="FDB940"/>
            <w:vAlign w:val="center"/>
          </w:tcPr>
          <w:p w14:paraId="2D3D3E24"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423" w:type="dxa"/>
            <w:shd w:val="clear" w:color="auto" w:fill="auto"/>
            <w:vAlign w:val="center"/>
          </w:tcPr>
          <w:p w14:paraId="2185C585"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23F73C03"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5EC5F782"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123862CE" w14:textId="77777777" w:rsidTr="00831257">
        <w:trPr>
          <w:trHeight w:val="20"/>
          <w:jc w:val="center"/>
        </w:trPr>
        <w:tc>
          <w:tcPr>
            <w:tcW w:w="2405" w:type="dxa"/>
            <w:shd w:val="clear" w:color="auto" w:fill="FDB940"/>
            <w:vAlign w:val="center"/>
          </w:tcPr>
          <w:p w14:paraId="20AB5A82"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423" w:type="dxa"/>
            <w:shd w:val="clear" w:color="auto" w:fill="auto"/>
            <w:vAlign w:val="center"/>
          </w:tcPr>
          <w:p w14:paraId="68BBEDE3"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0CA2144E"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40F1AAF5"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58865502" w14:textId="77777777" w:rsidTr="00831257">
        <w:trPr>
          <w:trHeight w:val="20"/>
          <w:jc w:val="center"/>
        </w:trPr>
        <w:tc>
          <w:tcPr>
            <w:tcW w:w="2405" w:type="dxa"/>
            <w:shd w:val="clear" w:color="auto" w:fill="FDB940"/>
            <w:vAlign w:val="center"/>
          </w:tcPr>
          <w:p w14:paraId="18333E99"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299" w:type="dxa"/>
            <w:gridSpan w:val="3"/>
            <w:shd w:val="clear" w:color="auto" w:fill="auto"/>
            <w:vAlign w:val="center"/>
          </w:tcPr>
          <w:p w14:paraId="00F52B2F"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4AD64C74" w14:textId="77777777" w:rsidTr="00831257">
        <w:trPr>
          <w:trHeight w:val="20"/>
          <w:jc w:val="center"/>
        </w:trPr>
        <w:tc>
          <w:tcPr>
            <w:tcW w:w="2405" w:type="dxa"/>
            <w:shd w:val="clear" w:color="auto" w:fill="FDB940"/>
            <w:vAlign w:val="center"/>
          </w:tcPr>
          <w:p w14:paraId="34780AA4"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299" w:type="dxa"/>
            <w:gridSpan w:val="3"/>
            <w:shd w:val="clear" w:color="auto" w:fill="auto"/>
            <w:vAlign w:val="center"/>
          </w:tcPr>
          <w:p w14:paraId="7C3CFD82" w14:textId="77777777" w:rsidR="008726FD" w:rsidRPr="009C2E97" w:rsidRDefault="008726FD" w:rsidP="00B83186">
            <w:pPr>
              <w:widowControl w:val="0"/>
              <w:spacing w:after="0" w:line="240" w:lineRule="auto"/>
              <w:rPr>
                <w:rFonts w:ascii="Verdana" w:hAnsi="Verdana"/>
                <w:sz w:val="20"/>
                <w:szCs w:val="20"/>
                <w:lang w:val="sl-SI"/>
              </w:rPr>
            </w:pPr>
          </w:p>
        </w:tc>
      </w:tr>
    </w:tbl>
    <w:p w14:paraId="1A3FCB18" w14:textId="77777777"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085F4AC2" w14:textId="77777777" w:rsidTr="00831257">
        <w:trPr>
          <w:trHeight w:val="20"/>
          <w:jc w:val="center"/>
        </w:trPr>
        <w:tc>
          <w:tcPr>
            <w:tcW w:w="9694" w:type="dxa"/>
            <w:shd w:val="clear" w:color="auto" w:fill="FFF0D5"/>
            <w:vAlign w:val="center"/>
          </w:tcPr>
          <w:p w14:paraId="1C5F201A" w14:textId="1BC736A7" w:rsidR="001166E0" w:rsidRPr="00523F86" w:rsidRDefault="00EE2FFA"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9D5CA3">
              <w:rPr>
                <w:rFonts w:ascii="Verdana" w:hAnsi="Verdana"/>
                <w:b/>
                <w:sz w:val="28"/>
                <w:szCs w:val="28"/>
                <w:lang w:val="sl-SI"/>
              </w:rPr>
              <w:t xml:space="preserve">ZA DOBAVO ELEKTRIČNE ENERGIJE Z DELEŽEM ELEKTRIČNE ENERGIJE IZ OBNOVLJIVIH VIROV IN/ALI SOPROIZVODNJE ELEKTRIČNE ENERGIJE Z VISOKIM IZKORISTKOM </w:t>
            </w:r>
            <w:r w:rsidR="001166E0" w:rsidRPr="00523F86">
              <w:rPr>
                <w:rFonts w:ascii="Verdana" w:hAnsi="Verdana"/>
                <w:b/>
                <w:sz w:val="28"/>
                <w:szCs w:val="28"/>
                <w:lang w:val="sl-SI"/>
              </w:rPr>
              <w:t>&lt;številka pogodbe&gt;</w:t>
            </w:r>
          </w:p>
        </w:tc>
      </w:tr>
    </w:tbl>
    <w:p w14:paraId="4AC3A8A0" w14:textId="77777777" w:rsidR="001166E0" w:rsidRDefault="001166E0" w:rsidP="00B83186">
      <w:pPr>
        <w:widowControl w:val="0"/>
        <w:spacing w:after="0" w:line="240" w:lineRule="auto"/>
        <w:jc w:val="both"/>
        <w:rPr>
          <w:rFonts w:ascii="Verdana" w:hAnsi="Verdana"/>
          <w:sz w:val="20"/>
          <w:szCs w:val="28"/>
          <w:lang w:val="sl-SI"/>
        </w:rPr>
      </w:pPr>
    </w:p>
    <w:p w14:paraId="4F28EC26" w14:textId="77777777" w:rsidR="00900773" w:rsidRPr="0013138A" w:rsidRDefault="00900773" w:rsidP="00C40D64">
      <w:pPr>
        <w:pStyle w:val="ListParagraph"/>
        <w:widowControl w:val="0"/>
        <w:numPr>
          <w:ilvl w:val="0"/>
          <w:numId w:val="7"/>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6FF84877"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p w14:paraId="59238065" w14:textId="00FB06C8" w:rsidR="00984FB2" w:rsidRPr="00373EA1" w:rsidRDefault="00984FB2" w:rsidP="00C40D64">
      <w:pPr>
        <w:pStyle w:val="ListParagraph"/>
        <w:widowControl w:val="0"/>
        <w:numPr>
          <w:ilvl w:val="0"/>
          <w:numId w:val="2"/>
        </w:numPr>
        <w:spacing w:after="120" w:line="240" w:lineRule="auto"/>
        <w:ind w:left="714" w:hanging="357"/>
        <w:contextualSpacing w:val="0"/>
        <w:jc w:val="both"/>
        <w:rPr>
          <w:rFonts w:ascii="Verdana" w:hAnsi="Verdana"/>
          <w:sz w:val="20"/>
          <w:szCs w:val="28"/>
          <w:lang w:val="sl-SI"/>
        </w:rPr>
      </w:pPr>
      <w:r w:rsidRPr="00373EA1">
        <w:rPr>
          <w:rFonts w:ascii="Verdana" w:hAnsi="Verdana"/>
          <w:sz w:val="20"/>
          <w:szCs w:val="20"/>
          <w:lang w:val="sl-SI"/>
        </w:rPr>
        <w:t xml:space="preserve">Naročnik in </w:t>
      </w:r>
      <w:r>
        <w:rPr>
          <w:rFonts w:ascii="Verdana" w:hAnsi="Verdana"/>
          <w:sz w:val="20"/>
          <w:szCs w:val="20"/>
          <w:lang w:val="sl-SI"/>
        </w:rPr>
        <w:t xml:space="preserve">dobavitelj </w:t>
      </w:r>
      <w:r w:rsidRPr="00373EA1">
        <w:rPr>
          <w:rFonts w:ascii="Verdana" w:hAnsi="Verdana"/>
          <w:sz w:val="20"/>
          <w:szCs w:val="20"/>
          <w:lang w:val="sl-SI"/>
        </w:rPr>
        <w:t xml:space="preserve">imata sklenjen okvirni sporazum za dobavo energentov št. </w:t>
      </w:r>
      <w:r>
        <w:rPr>
          <w:rFonts w:ascii="Verdana" w:hAnsi="Verdana"/>
          <w:sz w:val="20"/>
          <w:szCs w:val="20"/>
          <w:lang w:val="sl-SI"/>
        </w:rPr>
        <w:t>…….</w:t>
      </w:r>
      <w:r w:rsidRPr="00373EA1">
        <w:rPr>
          <w:rFonts w:ascii="Verdana" w:hAnsi="Verdana"/>
          <w:sz w:val="20"/>
          <w:szCs w:val="20"/>
          <w:lang w:val="sl-SI"/>
        </w:rPr>
        <w:t xml:space="preserve"> za obdobje </w:t>
      </w:r>
      <w:r>
        <w:rPr>
          <w:rFonts w:ascii="Verdana" w:hAnsi="Verdana"/>
          <w:sz w:val="20"/>
          <w:szCs w:val="20"/>
          <w:lang w:val="sl-SI"/>
        </w:rPr>
        <w:t>tre</w:t>
      </w:r>
      <w:r w:rsidRPr="00373EA1">
        <w:rPr>
          <w:rFonts w:ascii="Verdana" w:hAnsi="Verdana"/>
          <w:sz w:val="20"/>
          <w:szCs w:val="20"/>
          <w:lang w:val="sl-SI"/>
        </w:rPr>
        <w:t>h let</w:t>
      </w:r>
      <w:r>
        <w:rPr>
          <w:rFonts w:ascii="Verdana" w:hAnsi="Verdana"/>
          <w:sz w:val="20"/>
          <w:szCs w:val="20"/>
          <w:lang w:val="sl-SI"/>
        </w:rPr>
        <w:t>, in sicer od 1.1.2022 do 31.12.2024</w:t>
      </w:r>
      <w:r w:rsidRPr="00373EA1">
        <w:rPr>
          <w:rFonts w:ascii="Verdana" w:hAnsi="Verdana"/>
          <w:sz w:val="20"/>
          <w:szCs w:val="20"/>
          <w:lang w:val="sl-SI"/>
        </w:rPr>
        <w:t xml:space="preserve">. </w:t>
      </w:r>
    </w:p>
    <w:p w14:paraId="42017A6F" w14:textId="4F10F3ED" w:rsidR="00984FB2" w:rsidRPr="00373EA1" w:rsidRDefault="00984FB2" w:rsidP="00C40D64">
      <w:pPr>
        <w:pStyle w:val="ListParagraph"/>
        <w:widowControl w:val="0"/>
        <w:numPr>
          <w:ilvl w:val="0"/>
          <w:numId w:val="2"/>
        </w:numPr>
        <w:spacing w:after="120" w:line="240" w:lineRule="auto"/>
        <w:ind w:left="714" w:hanging="357"/>
        <w:contextualSpacing w:val="0"/>
        <w:jc w:val="both"/>
        <w:rPr>
          <w:rFonts w:ascii="Verdana" w:hAnsi="Verdana"/>
          <w:sz w:val="20"/>
          <w:szCs w:val="28"/>
          <w:lang w:val="sl-SI"/>
        </w:rPr>
      </w:pPr>
      <w:r>
        <w:rPr>
          <w:rFonts w:ascii="Verdana" w:hAnsi="Verdana"/>
          <w:sz w:val="20"/>
          <w:szCs w:val="20"/>
          <w:lang w:val="sl-SI"/>
        </w:rPr>
        <w:t>Dobavitelj</w:t>
      </w:r>
      <w:r w:rsidRPr="00373EA1">
        <w:rPr>
          <w:rFonts w:ascii="Verdana" w:hAnsi="Verdana"/>
          <w:sz w:val="20"/>
          <w:szCs w:val="20"/>
          <w:lang w:val="sl-SI"/>
        </w:rPr>
        <w:t xml:space="preserve"> je v skladu z okvirnim sporazumom </w:t>
      </w:r>
      <w:r>
        <w:rPr>
          <w:rFonts w:ascii="Verdana" w:hAnsi="Verdana"/>
          <w:sz w:val="20"/>
          <w:szCs w:val="20"/>
          <w:lang w:val="sl-SI"/>
        </w:rPr>
        <w:t>ter izvedenim povpraševanjem</w:t>
      </w:r>
      <w:r w:rsidRPr="00373EA1">
        <w:rPr>
          <w:rFonts w:ascii="Verdana" w:hAnsi="Verdana"/>
          <w:sz w:val="20"/>
          <w:szCs w:val="20"/>
          <w:lang w:val="sl-SI"/>
        </w:rPr>
        <w:t xml:space="preserve"> z dne ……… izbran kot najugodnejši za blago, navedeno v 2. členu pogodbe</w:t>
      </w:r>
      <w:r w:rsidR="005B13E2">
        <w:rPr>
          <w:rFonts w:ascii="Verdana" w:hAnsi="Verdana"/>
          <w:sz w:val="20"/>
          <w:szCs w:val="20"/>
          <w:lang w:val="sl-SI"/>
        </w:rPr>
        <w:t xml:space="preserve">, za obdobje od ................... do ....................... </w:t>
      </w:r>
      <w:r w:rsidRPr="00373EA1">
        <w:rPr>
          <w:rFonts w:ascii="Verdana" w:hAnsi="Verdana"/>
          <w:sz w:val="20"/>
          <w:szCs w:val="20"/>
          <w:lang w:val="sl-SI"/>
        </w:rPr>
        <w:t>.</w:t>
      </w:r>
    </w:p>
    <w:p w14:paraId="4DC2C2B3" w14:textId="77777777" w:rsidR="00984FB2" w:rsidRPr="00373EA1" w:rsidRDefault="00984FB2" w:rsidP="00C40D64">
      <w:pPr>
        <w:pStyle w:val="ListParagraph"/>
        <w:widowControl w:val="0"/>
        <w:numPr>
          <w:ilvl w:val="0"/>
          <w:numId w:val="2"/>
        </w:numPr>
        <w:spacing w:after="120" w:line="240" w:lineRule="auto"/>
        <w:ind w:left="714" w:hanging="357"/>
        <w:contextualSpacing w:val="0"/>
        <w:jc w:val="both"/>
        <w:rPr>
          <w:rFonts w:ascii="Verdana" w:hAnsi="Verdana"/>
          <w:sz w:val="20"/>
          <w:szCs w:val="28"/>
          <w:lang w:val="sl-SI"/>
        </w:rPr>
      </w:pPr>
      <w:r>
        <w:rPr>
          <w:rFonts w:ascii="Verdana" w:hAnsi="Verdana"/>
          <w:sz w:val="20"/>
          <w:szCs w:val="20"/>
          <w:lang w:val="sl-SI"/>
        </w:rPr>
        <w:t>Sestavni del pogodbe so tudi določila okvirnega sporazuma, v kolikor ni s to pogodbo določeno drugače.</w:t>
      </w:r>
    </w:p>
    <w:p w14:paraId="6529DA5A" w14:textId="77777777" w:rsidR="0013138A" w:rsidRDefault="0013138A" w:rsidP="0013138A">
      <w:pPr>
        <w:pStyle w:val="ListParagraph"/>
        <w:widowControl w:val="0"/>
        <w:spacing w:after="120" w:line="240" w:lineRule="auto"/>
        <w:rPr>
          <w:rFonts w:ascii="Verdana" w:hAnsi="Verdana"/>
          <w:sz w:val="20"/>
          <w:szCs w:val="20"/>
          <w:lang w:val="sl-SI"/>
        </w:rPr>
      </w:pPr>
    </w:p>
    <w:p w14:paraId="11AAA503" w14:textId="77777777" w:rsidR="00FF2E53" w:rsidRPr="0013138A" w:rsidRDefault="00FF2E53" w:rsidP="00C40D64">
      <w:pPr>
        <w:pStyle w:val="ListParagraph"/>
        <w:widowControl w:val="0"/>
        <w:numPr>
          <w:ilvl w:val="0"/>
          <w:numId w:val="7"/>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14:paraId="5A89104C"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4728D686" w14:textId="7CF24DC9" w:rsidR="00984FB2" w:rsidRDefault="00900773"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984FB2" w:rsidRPr="00373EA1">
        <w:rPr>
          <w:rFonts w:ascii="Verdana" w:hAnsi="Verdana"/>
          <w:sz w:val="20"/>
          <w:szCs w:val="20"/>
          <w:lang w:val="sl-SI"/>
        </w:rPr>
        <w:t xml:space="preserve">dobava električne energije z deležem električne energije iz obnovljivih virov energije (v nadaljnjem besedilu: OVE) in/ali soproizvodnje električne </w:t>
      </w:r>
      <w:r w:rsidR="00984FB2" w:rsidRPr="00373EA1">
        <w:rPr>
          <w:rFonts w:ascii="Verdana" w:hAnsi="Verdana"/>
          <w:sz w:val="20"/>
          <w:szCs w:val="20"/>
          <w:lang w:val="sl-SI"/>
        </w:rPr>
        <w:lastRenderedPageBreak/>
        <w:t>energije (v nadaljnjem besedilu: SPTE) z visokim izkoristkom za merilna mesta, kot so navedena v Prilogi 1.</w:t>
      </w:r>
    </w:p>
    <w:p w14:paraId="4F268340" w14:textId="77777777" w:rsidR="00984FB2"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373EA1">
        <w:rPr>
          <w:rFonts w:ascii="Verdana" w:hAnsi="Verdana"/>
          <w:sz w:val="20"/>
          <w:szCs w:val="20"/>
          <w:lang w:val="sl-SI"/>
        </w:rPr>
        <w:t>Opredelitev električne energije iz obnovljivih virov energije ustreza opredelitvi tovrstne električne energije v zakonu, ki ureja energetiko.</w:t>
      </w:r>
    </w:p>
    <w:p w14:paraId="13861548" w14:textId="77777777" w:rsidR="00984FB2"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373EA1">
        <w:rPr>
          <w:rFonts w:ascii="Verdana" w:hAnsi="Verdana"/>
          <w:sz w:val="20"/>
          <w:szCs w:val="20"/>
          <w:lang w:val="sl-SI"/>
        </w:rPr>
        <w:t>Natančne količine so v tem trenutku za naročnika neugotovljive.</w:t>
      </w:r>
    </w:p>
    <w:p w14:paraId="19EB1545" w14:textId="77777777" w:rsidR="00984FB2"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373EA1">
        <w:rPr>
          <w:rFonts w:ascii="Verdana" w:hAnsi="Verdana"/>
          <w:sz w:val="20"/>
          <w:szCs w:val="20"/>
          <w:lang w:val="sl-SI"/>
        </w:rPr>
        <w:t>Dobave blaga se bodo obračunavale po sistemu dejanskih količin in nespremenljivih tarifah navedenih v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992"/>
        <w:gridCol w:w="4820"/>
      </w:tblGrid>
      <w:tr w:rsidR="00984FB2" w:rsidRPr="00823E89" w14:paraId="7B5255E7" w14:textId="77777777" w:rsidTr="00DB4046">
        <w:trPr>
          <w:trHeight w:val="537"/>
          <w:jc w:val="center"/>
        </w:trPr>
        <w:tc>
          <w:tcPr>
            <w:tcW w:w="1559" w:type="dxa"/>
            <w:tcBorders>
              <w:top w:val="single" w:sz="4" w:space="0" w:color="auto"/>
              <w:left w:val="single" w:sz="4" w:space="0" w:color="auto"/>
              <w:bottom w:val="single" w:sz="4" w:space="0" w:color="auto"/>
            </w:tcBorders>
            <w:shd w:val="clear" w:color="auto" w:fill="FAAA5A"/>
            <w:vAlign w:val="center"/>
          </w:tcPr>
          <w:p w14:paraId="6A9BAEB0" w14:textId="77777777" w:rsidR="00984FB2" w:rsidRPr="001945E2" w:rsidRDefault="00984FB2" w:rsidP="00DB4046">
            <w:pPr>
              <w:pStyle w:val="Heading1"/>
              <w:keepLines/>
              <w:spacing w:after="0"/>
              <w:jc w:val="center"/>
              <w:rPr>
                <w:sz w:val="20"/>
              </w:rPr>
            </w:pPr>
          </w:p>
        </w:tc>
        <w:tc>
          <w:tcPr>
            <w:tcW w:w="992" w:type="dxa"/>
            <w:tcBorders>
              <w:top w:val="single" w:sz="4" w:space="0" w:color="auto"/>
              <w:bottom w:val="single" w:sz="4" w:space="0" w:color="auto"/>
            </w:tcBorders>
            <w:shd w:val="clear" w:color="auto" w:fill="FAAA5A"/>
            <w:vAlign w:val="center"/>
          </w:tcPr>
          <w:p w14:paraId="71897FBC" w14:textId="77777777" w:rsidR="00984FB2" w:rsidRPr="001945E2" w:rsidRDefault="00984FB2" w:rsidP="00DB4046">
            <w:pPr>
              <w:pStyle w:val="Heading1"/>
              <w:keepLines/>
              <w:spacing w:after="0"/>
              <w:jc w:val="center"/>
              <w:rPr>
                <w:sz w:val="20"/>
              </w:rPr>
            </w:pPr>
            <w:r w:rsidRPr="001945E2">
              <w:rPr>
                <w:sz w:val="20"/>
              </w:rPr>
              <w:t>Enota</w:t>
            </w:r>
          </w:p>
        </w:tc>
        <w:tc>
          <w:tcPr>
            <w:tcW w:w="4820" w:type="dxa"/>
            <w:tcBorders>
              <w:top w:val="single" w:sz="4" w:space="0" w:color="auto"/>
              <w:bottom w:val="single" w:sz="4" w:space="0" w:color="auto"/>
              <w:right w:val="single" w:sz="4" w:space="0" w:color="auto"/>
            </w:tcBorders>
            <w:shd w:val="clear" w:color="auto" w:fill="FAAA5A"/>
            <w:vAlign w:val="center"/>
          </w:tcPr>
          <w:p w14:paraId="42F63B6B" w14:textId="77777777" w:rsidR="00984FB2" w:rsidRPr="001945E2" w:rsidRDefault="00984FB2" w:rsidP="00DB4046">
            <w:pPr>
              <w:pStyle w:val="Heading1"/>
              <w:keepLines/>
              <w:spacing w:after="0"/>
              <w:jc w:val="center"/>
              <w:rPr>
                <w:sz w:val="20"/>
              </w:rPr>
            </w:pPr>
            <w:r>
              <w:rPr>
                <w:sz w:val="20"/>
              </w:rPr>
              <w:t>Cena električne energije brez dajatev na enoto/kWh</w:t>
            </w:r>
          </w:p>
        </w:tc>
      </w:tr>
      <w:tr w:rsidR="00984FB2" w:rsidRPr="00823E89" w14:paraId="5EE52EBA" w14:textId="77777777" w:rsidTr="00DB4046">
        <w:trPr>
          <w:jc w:val="center"/>
        </w:trPr>
        <w:tc>
          <w:tcPr>
            <w:tcW w:w="1559" w:type="dxa"/>
            <w:tcBorders>
              <w:left w:val="single" w:sz="4" w:space="0" w:color="auto"/>
            </w:tcBorders>
            <w:shd w:val="clear" w:color="auto" w:fill="FADC8C"/>
            <w:vAlign w:val="center"/>
          </w:tcPr>
          <w:p w14:paraId="20B67D8D" w14:textId="77777777" w:rsidR="00984FB2" w:rsidRPr="00F21807" w:rsidRDefault="00984FB2" w:rsidP="00DB4046">
            <w:pPr>
              <w:keepNext/>
              <w:keepLines/>
              <w:jc w:val="center"/>
              <w:rPr>
                <w:szCs w:val="20"/>
              </w:rPr>
            </w:pPr>
            <w:r w:rsidRPr="00F21807">
              <w:rPr>
                <w:szCs w:val="20"/>
              </w:rPr>
              <w:t>Energija VT</w:t>
            </w:r>
          </w:p>
        </w:tc>
        <w:tc>
          <w:tcPr>
            <w:tcW w:w="992" w:type="dxa"/>
            <w:shd w:val="clear" w:color="auto" w:fill="FADC8C"/>
            <w:vAlign w:val="center"/>
          </w:tcPr>
          <w:p w14:paraId="13FB3CCD" w14:textId="77777777" w:rsidR="00984FB2" w:rsidRPr="001945E2" w:rsidRDefault="00984FB2" w:rsidP="00DB4046">
            <w:pPr>
              <w:pStyle w:val="Heading1"/>
              <w:keepLines/>
              <w:spacing w:after="0"/>
              <w:jc w:val="center"/>
              <w:rPr>
                <w:b w:val="0"/>
                <w:sz w:val="20"/>
              </w:rPr>
            </w:pPr>
            <w:r>
              <w:rPr>
                <w:b w:val="0"/>
                <w:sz w:val="20"/>
              </w:rPr>
              <w:t>kWh</w:t>
            </w:r>
          </w:p>
        </w:tc>
        <w:tc>
          <w:tcPr>
            <w:tcW w:w="4820" w:type="dxa"/>
            <w:tcBorders>
              <w:right w:val="single" w:sz="4" w:space="0" w:color="auto"/>
            </w:tcBorders>
            <w:shd w:val="clear" w:color="auto" w:fill="auto"/>
            <w:vAlign w:val="center"/>
          </w:tcPr>
          <w:p w14:paraId="28584F41" w14:textId="77777777" w:rsidR="00984FB2" w:rsidRPr="003D6564" w:rsidRDefault="00984FB2" w:rsidP="00DB4046">
            <w:pPr>
              <w:pStyle w:val="Heading1"/>
              <w:keepLines/>
              <w:spacing w:after="0"/>
              <w:jc w:val="center"/>
              <w:rPr>
                <w:rFonts w:eastAsia="Arial Unicode MS"/>
                <w:b w:val="0"/>
                <w:kern w:val="1"/>
                <w:sz w:val="20"/>
              </w:rPr>
            </w:pPr>
          </w:p>
        </w:tc>
      </w:tr>
      <w:tr w:rsidR="00984FB2" w:rsidRPr="00823E89" w14:paraId="2E837CE0" w14:textId="77777777" w:rsidTr="00DB4046">
        <w:trPr>
          <w:jc w:val="center"/>
        </w:trPr>
        <w:tc>
          <w:tcPr>
            <w:tcW w:w="1559" w:type="dxa"/>
            <w:tcBorders>
              <w:left w:val="single" w:sz="4" w:space="0" w:color="auto"/>
            </w:tcBorders>
            <w:shd w:val="clear" w:color="auto" w:fill="FADC8C"/>
            <w:vAlign w:val="center"/>
          </w:tcPr>
          <w:p w14:paraId="193E85AA" w14:textId="77777777" w:rsidR="00984FB2" w:rsidRPr="00F21807" w:rsidRDefault="00984FB2" w:rsidP="00DB4046">
            <w:pPr>
              <w:keepNext/>
              <w:keepLines/>
              <w:jc w:val="center"/>
              <w:rPr>
                <w:szCs w:val="20"/>
              </w:rPr>
            </w:pPr>
            <w:r w:rsidRPr="00F21807">
              <w:rPr>
                <w:szCs w:val="20"/>
              </w:rPr>
              <w:t>Energija MT</w:t>
            </w:r>
          </w:p>
        </w:tc>
        <w:tc>
          <w:tcPr>
            <w:tcW w:w="992" w:type="dxa"/>
            <w:shd w:val="clear" w:color="auto" w:fill="FADC8C"/>
            <w:vAlign w:val="center"/>
          </w:tcPr>
          <w:p w14:paraId="0E9A9A69" w14:textId="77777777" w:rsidR="00984FB2" w:rsidRPr="001945E2" w:rsidRDefault="00984FB2" w:rsidP="00DB4046">
            <w:pPr>
              <w:pStyle w:val="Heading1"/>
              <w:keepLines/>
              <w:spacing w:after="0"/>
              <w:jc w:val="center"/>
              <w:rPr>
                <w:b w:val="0"/>
                <w:sz w:val="20"/>
              </w:rPr>
            </w:pPr>
            <w:r>
              <w:rPr>
                <w:b w:val="0"/>
                <w:sz w:val="20"/>
              </w:rPr>
              <w:t>kWh</w:t>
            </w:r>
          </w:p>
        </w:tc>
        <w:tc>
          <w:tcPr>
            <w:tcW w:w="4820" w:type="dxa"/>
            <w:tcBorders>
              <w:right w:val="single" w:sz="4" w:space="0" w:color="auto"/>
            </w:tcBorders>
            <w:shd w:val="clear" w:color="auto" w:fill="auto"/>
            <w:vAlign w:val="center"/>
          </w:tcPr>
          <w:p w14:paraId="5C2264D7" w14:textId="77777777" w:rsidR="00984FB2" w:rsidRPr="003D6564" w:rsidRDefault="00984FB2" w:rsidP="00DB4046">
            <w:pPr>
              <w:pStyle w:val="Heading1"/>
              <w:keepLines/>
              <w:spacing w:after="0"/>
              <w:jc w:val="center"/>
              <w:rPr>
                <w:rFonts w:eastAsia="Arial Unicode MS"/>
                <w:b w:val="0"/>
                <w:kern w:val="1"/>
                <w:sz w:val="20"/>
              </w:rPr>
            </w:pPr>
          </w:p>
        </w:tc>
      </w:tr>
      <w:tr w:rsidR="00984FB2" w:rsidRPr="00823E89" w14:paraId="4B205655" w14:textId="77777777" w:rsidTr="00DB4046">
        <w:trPr>
          <w:jc w:val="center"/>
        </w:trPr>
        <w:tc>
          <w:tcPr>
            <w:tcW w:w="1559" w:type="dxa"/>
            <w:tcBorders>
              <w:left w:val="single" w:sz="4" w:space="0" w:color="auto"/>
            </w:tcBorders>
            <w:shd w:val="clear" w:color="auto" w:fill="FADC8C"/>
            <w:vAlign w:val="center"/>
          </w:tcPr>
          <w:p w14:paraId="055A5F04" w14:textId="77777777" w:rsidR="00984FB2" w:rsidRPr="00F21807" w:rsidRDefault="00984FB2" w:rsidP="00DB4046">
            <w:pPr>
              <w:keepNext/>
              <w:keepLines/>
              <w:jc w:val="center"/>
              <w:rPr>
                <w:szCs w:val="20"/>
              </w:rPr>
            </w:pPr>
            <w:r w:rsidRPr="00F21807">
              <w:rPr>
                <w:szCs w:val="20"/>
              </w:rPr>
              <w:t xml:space="preserve">Energija </w:t>
            </w:r>
            <w:r>
              <w:rPr>
                <w:szCs w:val="20"/>
              </w:rPr>
              <w:t>E</w:t>
            </w:r>
            <w:r w:rsidRPr="00F21807">
              <w:rPr>
                <w:szCs w:val="20"/>
              </w:rPr>
              <w:t>T</w:t>
            </w:r>
          </w:p>
        </w:tc>
        <w:tc>
          <w:tcPr>
            <w:tcW w:w="992" w:type="dxa"/>
            <w:shd w:val="clear" w:color="auto" w:fill="FADC8C"/>
            <w:vAlign w:val="center"/>
          </w:tcPr>
          <w:p w14:paraId="76FBD46C" w14:textId="77777777" w:rsidR="00984FB2" w:rsidRPr="001945E2" w:rsidRDefault="00984FB2" w:rsidP="00DB4046">
            <w:pPr>
              <w:pStyle w:val="Heading1"/>
              <w:keepLines/>
              <w:spacing w:after="0"/>
              <w:jc w:val="center"/>
              <w:rPr>
                <w:b w:val="0"/>
                <w:sz w:val="20"/>
              </w:rPr>
            </w:pPr>
            <w:r>
              <w:rPr>
                <w:b w:val="0"/>
                <w:sz w:val="20"/>
              </w:rPr>
              <w:t>kWh</w:t>
            </w:r>
          </w:p>
        </w:tc>
        <w:tc>
          <w:tcPr>
            <w:tcW w:w="4820" w:type="dxa"/>
            <w:tcBorders>
              <w:right w:val="single" w:sz="4" w:space="0" w:color="auto"/>
            </w:tcBorders>
            <w:shd w:val="clear" w:color="auto" w:fill="auto"/>
            <w:vAlign w:val="center"/>
          </w:tcPr>
          <w:p w14:paraId="36112760" w14:textId="77777777" w:rsidR="00984FB2" w:rsidRPr="003D6564" w:rsidRDefault="00984FB2" w:rsidP="00DB4046">
            <w:pPr>
              <w:pStyle w:val="Heading1"/>
              <w:keepLines/>
              <w:spacing w:after="0"/>
              <w:jc w:val="center"/>
              <w:rPr>
                <w:rFonts w:eastAsia="Arial Unicode MS"/>
                <w:b w:val="0"/>
                <w:kern w:val="1"/>
                <w:sz w:val="20"/>
              </w:rPr>
            </w:pPr>
          </w:p>
        </w:tc>
      </w:tr>
    </w:tbl>
    <w:p w14:paraId="329CC728" w14:textId="77777777" w:rsidR="00984FB2" w:rsidRPr="00373EA1" w:rsidRDefault="00984FB2" w:rsidP="00984FB2">
      <w:pPr>
        <w:widowControl w:val="0"/>
        <w:spacing w:after="120" w:line="240" w:lineRule="auto"/>
        <w:ind w:left="360"/>
        <w:jc w:val="both"/>
        <w:rPr>
          <w:rFonts w:ascii="Verdana" w:hAnsi="Verdana"/>
          <w:sz w:val="20"/>
          <w:szCs w:val="20"/>
          <w:lang w:val="sl-SI"/>
        </w:rPr>
      </w:pPr>
    </w:p>
    <w:p w14:paraId="43911FEC" w14:textId="77777777" w:rsidR="00984FB2"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Pr>
          <w:rFonts w:ascii="Verdana" w:hAnsi="Verdana"/>
          <w:sz w:val="20"/>
          <w:szCs w:val="20"/>
          <w:lang w:val="sl-SI"/>
        </w:rPr>
        <w:t xml:space="preserve">Delež </w:t>
      </w:r>
      <w:r w:rsidRPr="00373EA1">
        <w:rPr>
          <w:rFonts w:ascii="Verdana" w:hAnsi="Verdana"/>
          <w:sz w:val="20"/>
          <w:szCs w:val="20"/>
          <w:lang w:val="sl-SI"/>
        </w:rPr>
        <w:t>električne energije iz obnovljivih virov energije (v nadaljnjem besedilu: OVE) in/ali soproizvodnje električne energije (v nadaljnjem besedilu: SPTE) z visokim izkoristkom</w:t>
      </w:r>
      <w:r>
        <w:rPr>
          <w:rFonts w:ascii="Verdana" w:hAnsi="Verdana"/>
          <w:sz w:val="20"/>
          <w:szCs w:val="20"/>
          <w:lang w:val="sl-SI"/>
        </w:rPr>
        <w:t>, ki jo bo dobavil dobavitelj, znaša ……. %.</w:t>
      </w:r>
    </w:p>
    <w:p w14:paraId="31828B22" w14:textId="77777777" w:rsidR="00984FB2" w:rsidRPr="00373EA1"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373EA1">
        <w:rPr>
          <w:rFonts w:ascii="Verdana" w:hAnsi="Verdana"/>
          <w:sz w:val="20"/>
          <w:szCs w:val="20"/>
          <w:lang w:val="sl-SI"/>
        </w:rPr>
        <w:t>Ponudbene (pogodbene) cene so izražene v EUR/kWh in ne vsebujejo:</w:t>
      </w:r>
    </w:p>
    <w:p w14:paraId="78206E7D" w14:textId="77777777" w:rsidR="00984FB2" w:rsidRPr="00373EA1" w:rsidRDefault="00984FB2" w:rsidP="00C40D64">
      <w:pPr>
        <w:pStyle w:val="ListParagraph"/>
        <w:widowControl w:val="0"/>
        <w:numPr>
          <w:ilvl w:val="0"/>
          <w:numId w:val="10"/>
        </w:numPr>
        <w:spacing w:before="120" w:after="120" w:line="360" w:lineRule="auto"/>
        <w:ind w:left="1077"/>
        <w:jc w:val="both"/>
        <w:rPr>
          <w:rFonts w:ascii="Verdana" w:hAnsi="Verdana"/>
          <w:sz w:val="20"/>
          <w:szCs w:val="20"/>
          <w:lang w:val="sl-SI"/>
        </w:rPr>
      </w:pPr>
      <w:r w:rsidRPr="00373EA1">
        <w:rPr>
          <w:rFonts w:ascii="Verdana" w:hAnsi="Verdana"/>
          <w:sz w:val="20"/>
          <w:szCs w:val="20"/>
          <w:lang w:val="sl-SI"/>
        </w:rPr>
        <w:t>davka na dodano vrednost,</w:t>
      </w:r>
    </w:p>
    <w:p w14:paraId="0F3BBB22" w14:textId="77777777" w:rsidR="00984FB2" w:rsidRPr="00373EA1" w:rsidRDefault="00984FB2" w:rsidP="00C40D64">
      <w:pPr>
        <w:pStyle w:val="ListParagraph"/>
        <w:widowControl w:val="0"/>
        <w:numPr>
          <w:ilvl w:val="0"/>
          <w:numId w:val="10"/>
        </w:numPr>
        <w:spacing w:before="120" w:after="120" w:line="360" w:lineRule="auto"/>
        <w:ind w:left="1077"/>
        <w:jc w:val="both"/>
        <w:rPr>
          <w:rFonts w:ascii="Verdana" w:hAnsi="Verdana"/>
          <w:sz w:val="20"/>
          <w:szCs w:val="20"/>
          <w:lang w:val="sl-SI"/>
        </w:rPr>
      </w:pPr>
      <w:r w:rsidRPr="00373EA1">
        <w:rPr>
          <w:rFonts w:ascii="Verdana" w:hAnsi="Verdana"/>
          <w:sz w:val="20"/>
          <w:szCs w:val="20"/>
          <w:lang w:val="sl-SI"/>
        </w:rPr>
        <w:t xml:space="preserve">trošarine na električno energijo, </w:t>
      </w:r>
    </w:p>
    <w:p w14:paraId="0186B570" w14:textId="77777777" w:rsidR="00984FB2" w:rsidRPr="00373EA1" w:rsidRDefault="00984FB2" w:rsidP="00C40D64">
      <w:pPr>
        <w:pStyle w:val="ListParagraph"/>
        <w:widowControl w:val="0"/>
        <w:numPr>
          <w:ilvl w:val="0"/>
          <w:numId w:val="10"/>
        </w:numPr>
        <w:spacing w:before="120" w:after="120" w:line="360" w:lineRule="auto"/>
        <w:ind w:left="1077"/>
        <w:jc w:val="both"/>
        <w:rPr>
          <w:rFonts w:ascii="Verdana" w:hAnsi="Verdana"/>
          <w:sz w:val="20"/>
          <w:szCs w:val="20"/>
          <w:lang w:val="sl-SI"/>
        </w:rPr>
      </w:pPr>
      <w:r w:rsidRPr="00373EA1">
        <w:rPr>
          <w:rFonts w:ascii="Verdana" w:hAnsi="Verdana"/>
          <w:sz w:val="20"/>
          <w:szCs w:val="20"/>
          <w:lang w:val="sl-SI"/>
        </w:rPr>
        <w:t xml:space="preserve">prispevka za povečanje učinkovitosti rabe električne energije, </w:t>
      </w:r>
    </w:p>
    <w:p w14:paraId="27EB3200" w14:textId="77777777" w:rsidR="00984FB2" w:rsidRPr="00373EA1" w:rsidRDefault="00984FB2" w:rsidP="00C40D64">
      <w:pPr>
        <w:pStyle w:val="ListParagraph"/>
        <w:widowControl w:val="0"/>
        <w:numPr>
          <w:ilvl w:val="0"/>
          <w:numId w:val="10"/>
        </w:numPr>
        <w:spacing w:before="120" w:after="120" w:line="360" w:lineRule="auto"/>
        <w:ind w:left="1077"/>
        <w:jc w:val="both"/>
        <w:rPr>
          <w:rFonts w:ascii="Verdana" w:hAnsi="Verdana"/>
          <w:sz w:val="20"/>
          <w:szCs w:val="20"/>
          <w:lang w:val="sl-SI"/>
        </w:rPr>
      </w:pPr>
      <w:r w:rsidRPr="00373EA1">
        <w:rPr>
          <w:rFonts w:ascii="Verdana" w:hAnsi="Verdana"/>
          <w:sz w:val="20"/>
          <w:szCs w:val="20"/>
          <w:lang w:val="sl-SI"/>
        </w:rPr>
        <w:t>stroškov uporabe elektroenergetskih omrežij in dodatkov in prispevkov, ki se obračunajo ob uporabi elektroenergetskih omrežij ter</w:t>
      </w:r>
    </w:p>
    <w:p w14:paraId="04E9F934" w14:textId="77777777" w:rsidR="00984FB2" w:rsidRPr="00373EA1" w:rsidRDefault="00984FB2" w:rsidP="00C40D64">
      <w:pPr>
        <w:pStyle w:val="ListParagraph"/>
        <w:widowControl w:val="0"/>
        <w:numPr>
          <w:ilvl w:val="0"/>
          <w:numId w:val="10"/>
        </w:numPr>
        <w:spacing w:before="120" w:after="120" w:line="360" w:lineRule="auto"/>
        <w:ind w:left="1077"/>
        <w:jc w:val="both"/>
        <w:rPr>
          <w:rFonts w:ascii="Verdana" w:hAnsi="Verdana"/>
          <w:sz w:val="20"/>
          <w:szCs w:val="20"/>
          <w:lang w:val="sl-SI"/>
        </w:rPr>
      </w:pPr>
      <w:r w:rsidRPr="00373EA1">
        <w:rPr>
          <w:rFonts w:ascii="Verdana" w:hAnsi="Verdana"/>
          <w:sz w:val="20"/>
          <w:szCs w:val="20"/>
          <w:lang w:val="sl-SI"/>
        </w:rPr>
        <w:t>morebitnih drugih dodatkov, prispevkov, davkov, ki jih predpisuje pooblaščen državni organ in katere kupcu zaračunava v okviru svojih obveznosti dobavitelj ali pristojni sistemski operater elektroenergetskega omrežja.</w:t>
      </w:r>
    </w:p>
    <w:p w14:paraId="4D7B9A97" w14:textId="77777777" w:rsidR="00984FB2" w:rsidRDefault="00984FB2" w:rsidP="00C40D64">
      <w:pPr>
        <w:pStyle w:val="ListParagraph"/>
        <w:widowControl w:val="0"/>
        <w:numPr>
          <w:ilvl w:val="0"/>
          <w:numId w:val="9"/>
        </w:numPr>
        <w:spacing w:after="120" w:line="240" w:lineRule="auto"/>
        <w:contextualSpacing w:val="0"/>
        <w:jc w:val="both"/>
        <w:rPr>
          <w:rFonts w:ascii="Verdana" w:hAnsi="Verdana"/>
          <w:sz w:val="20"/>
          <w:szCs w:val="20"/>
          <w:lang w:val="sl-SI"/>
        </w:rPr>
      </w:pPr>
      <w:r w:rsidRPr="00373EA1">
        <w:rPr>
          <w:rFonts w:ascii="Verdana" w:hAnsi="Verdana"/>
          <w:sz w:val="20"/>
          <w:szCs w:val="20"/>
          <w:lang w:val="sl-SI"/>
        </w:rPr>
        <w:t xml:space="preserve">Navedene cene na enoto so fiksne po enoti za obdobje trajanja pogodbe, obračun se izvrši glede na dejansko porabo (oz. po principu pavšalnega plačila s poračunom). </w:t>
      </w:r>
    </w:p>
    <w:p w14:paraId="12CD5487" w14:textId="77777777" w:rsidR="001166E0" w:rsidRPr="001166E0" w:rsidRDefault="001166E0" w:rsidP="00C40D64">
      <w:pPr>
        <w:pStyle w:val="ListParagraph"/>
        <w:widowControl w:val="0"/>
        <w:numPr>
          <w:ilvl w:val="0"/>
          <w:numId w:val="7"/>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14:paraId="6A3070CB" w14:textId="792A971B" w:rsidR="001166E0" w:rsidRDefault="004442B3"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DOBAVA IN PREVZEM</w:t>
      </w:r>
    </w:p>
    <w:p w14:paraId="165B2B89" w14:textId="77777777" w:rsidR="00E83A6D" w:rsidRPr="00E83A6D" w:rsidRDefault="00E83A6D" w:rsidP="00B83186">
      <w:pPr>
        <w:widowControl w:val="0"/>
        <w:spacing w:after="0" w:line="240" w:lineRule="auto"/>
        <w:jc w:val="both"/>
        <w:rPr>
          <w:rFonts w:ascii="Verdana" w:hAnsi="Verdana"/>
          <w:sz w:val="8"/>
          <w:szCs w:val="8"/>
          <w:lang w:val="sl-SI"/>
        </w:rPr>
      </w:pPr>
    </w:p>
    <w:p w14:paraId="75128523" w14:textId="77777777" w:rsidR="00191AE2" w:rsidRPr="00191AE2" w:rsidRDefault="00191AE2" w:rsidP="00B83186">
      <w:pPr>
        <w:widowControl w:val="0"/>
        <w:spacing w:after="0"/>
        <w:rPr>
          <w:sz w:val="8"/>
          <w:szCs w:val="8"/>
        </w:rPr>
      </w:pPr>
    </w:p>
    <w:p w14:paraId="7959B4BD" w14:textId="77777777" w:rsidR="004442B3" w:rsidRDefault="004442B3" w:rsidP="00C40D64">
      <w:pPr>
        <w:pStyle w:val="ListParagraph"/>
        <w:widowControl w:val="0"/>
        <w:numPr>
          <w:ilvl w:val="0"/>
          <w:numId w:val="8"/>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Dobavitelj se obvezuje naročnika oskrbovati z električno energijo ves čas trajanja pogodbe.</w:t>
      </w:r>
    </w:p>
    <w:p w14:paraId="0177A99B" w14:textId="77777777" w:rsidR="004442B3" w:rsidRDefault="004442B3" w:rsidP="00C40D64">
      <w:pPr>
        <w:pStyle w:val="ListParagraph"/>
        <w:widowControl w:val="0"/>
        <w:numPr>
          <w:ilvl w:val="0"/>
          <w:numId w:val="8"/>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Prevzem se izvede na merilnih mestih, navedenih v 2. členu pogodbe.</w:t>
      </w:r>
    </w:p>
    <w:p w14:paraId="66B244FF" w14:textId="77777777" w:rsidR="004442B3" w:rsidRPr="002F005C" w:rsidRDefault="004442B3" w:rsidP="00C40D64">
      <w:pPr>
        <w:pStyle w:val="ListParagraph"/>
        <w:widowControl w:val="0"/>
        <w:numPr>
          <w:ilvl w:val="0"/>
          <w:numId w:val="8"/>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Morebitne spremembe odjema oz. posredovanje dinamike odjema se sporoči dobavitelju in sicer najpozneje dva (2) dni pred dnevom dobave, v katerem se napoveduje sprememba dinamike odjema.</w:t>
      </w:r>
    </w:p>
    <w:p w14:paraId="35ED5A6D" w14:textId="77777777" w:rsidR="00193A34" w:rsidRDefault="00193A34" w:rsidP="00B83186">
      <w:pPr>
        <w:widowControl w:val="0"/>
        <w:spacing w:after="0" w:line="240" w:lineRule="auto"/>
        <w:jc w:val="both"/>
        <w:rPr>
          <w:rFonts w:ascii="Verdana" w:hAnsi="Verdana"/>
          <w:sz w:val="20"/>
          <w:szCs w:val="28"/>
          <w:lang w:val="sl-SI"/>
        </w:rPr>
      </w:pPr>
    </w:p>
    <w:p w14:paraId="45AFAA1E" w14:textId="06BDA160" w:rsidR="003E7AA4" w:rsidRPr="0013138A" w:rsidRDefault="003E7AA4" w:rsidP="00C40D64">
      <w:pPr>
        <w:pStyle w:val="ListParagraph"/>
        <w:widowControl w:val="0"/>
        <w:numPr>
          <w:ilvl w:val="0"/>
          <w:numId w:val="7"/>
        </w:numPr>
        <w:spacing w:after="120" w:line="240" w:lineRule="auto"/>
        <w:jc w:val="center"/>
        <w:rPr>
          <w:rFonts w:ascii="Verdana" w:hAnsi="Verdana"/>
          <w:sz w:val="20"/>
          <w:szCs w:val="20"/>
          <w:lang w:val="sl-SI"/>
        </w:rPr>
      </w:pPr>
      <w:r>
        <w:rPr>
          <w:rFonts w:ascii="Verdana" w:hAnsi="Verdana"/>
          <w:sz w:val="20"/>
          <w:szCs w:val="20"/>
          <w:lang w:val="sl-SI"/>
        </w:rPr>
        <w:t>člen</w:t>
      </w:r>
    </w:p>
    <w:p w14:paraId="016883E8" w14:textId="1547E037" w:rsidR="000D5380" w:rsidRPr="00D34477" w:rsidRDefault="004442B3" w:rsidP="003E7AA4">
      <w:pPr>
        <w:widowControl w:val="0"/>
        <w:spacing w:before="120" w:after="120" w:line="240" w:lineRule="auto"/>
        <w:ind w:firstLine="357"/>
        <w:jc w:val="center"/>
        <w:rPr>
          <w:rFonts w:ascii="Verdana" w:hAnsi="Verdana"/>
          <w:sz w:val="20"/>
          <w:szCs w:val="20"/>
          <w:lang w:val="sl-SI"/>
        </w:rPr>
      </w:pPr>
      <w:r>
        <w:rPr>
          <w:rFonts w:ascii="Verdana" w:hAnsi="Verdana"/>
          <w:sz w:val="20"/>
          <w:szCs w:val="20"/>
          <w:lang w:val="sl-SI"/>
        </w:rPr>
        <w:t>ROK IN NAČIN PLAČILA</w:t>
      </w:r>
    </w:p>
    <w:p w14:paraId="4379CF64" w14:textId="77777777" w:rsidR="004442B3" w:rsidRDefault="004442B3" w:rsidP="00C40D64">
      <w:pPr>
        <w:pStyle w:val="ListParagraph"/>
        <w:widowControl w:val="0"/>
        <w:numPr>
          <w:ilvl w:val="0"/>
          <w:numId w:val="1"/>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Pogoji izstavitve računa kot način plačila je opredeljen v okvirnem sporazumu, ki je podlaga za sklenitev pogodbe.</w:t>
      </w:r>
    </w:p>
    <w:p w14:paraId="331604AD" w14:textId="77777777" w:rsidR="004442B3" w:rsidRDefault="004442B3" w:rsidP="00C40D64">
      <w:pPr>
        <w:pStyle w:val="ListParagraph"/>
        <w:widowControl w:val="0"/>
        <w:numPr>
          <w:ilvl w:val="0"/>
          <w:numId w:val="1"/>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Dobavitelj mora izstaviti račun najkasneje do 20. v mesecu za pretekli mesec.</w:t>
      </w:r>
    </w:p>
    <w:p w14:paraId="2B388083" w14:textId="3A76380E" w:rsidR="000D5380" w:rsidRPr="004442B3" w:rsidRDefault="004442B3" w:rsidP="00C40D64">
      <w:pPr>
        <w:pStyle w:val="ListParagraph"/>
        <w:widowControl w:val="0"/>
        <w:numPr>
          <w:ilvl w:val="0"/>
          <w:numId w:val="1"/>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lastRenderedPageBreak/>
        <w:t>Rok plačila je 30 dni po dobavi in prejemu pravilno izstavljenega računa.</w:t>
      </w:r>
      <w:r>
        <w:rPr>
          <w:rFonts w:ascii="Verdana" w:hAnsi="Verdana"/>
          <w:sz w:val="20"/>
          <w:szCs w:val="20"/>
          <w:lang w:val="sl-SI"/>
        </w:rPr>
        <w:t xml:space="preserve"> Če naročnik posluje z e-računi, mora biti izstavljen e-račun, skladno z veljavno zakonodajo.</w:t>
      </w:r>
    </w:p>
    <w:p w14:paraId="31A6F151" w14:textId="77777777" w:rsidR="000D5380" w:rsidRPr="00AA0742" w:rsidRDefault="000D5380" w:rsidP="00C40D64">
      <w:pPr>
        <w:pStyle w:val="ListParagraph"/>
        <w:widowControl w:val="0"/>
        <w:numPr>
          <w:ilvl w:val="0"/>
          <w:numId w:val="7"/>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14:paraId="6C846E17" w14:textId="2D973EC4" w:rsidR="000D5380" w:rsidRPr="00D34477" w:rsidRDefault="004442B3" w:rsidP="003E7AA4">
      <w:pPr>
        <w:widowControl w:val="0"/>
        <w:spacing w:before="120" w:after="120" w:line="240" w:lineRule="auto"/>
        <w:ind w:firstLine="357"/>
        <w:jc w:val="center"/>
        <w:rPr>
          <w:rFonts w:ascii="Verdana" w:hAnsi="Verdana"/>
          <w:sz w:val="20"/>
          <w:szCs w:val="20"/>
          <w:lang w:val="sl-SI"/>
        </w:rPr>
      </w:pPr>
      <w:r>
        <w:rPr>
          <w:rFonts w:ascii="Verdana" w:hAnsi="Verdana"/>
          <w:sz w:val="20"/>
          <w:szCs w:val="20"/>
          <w:lang w:val="sl-SI"/>
        </w:rPr>
        <w:t>SPLOŠNE ZAHEVE IN JAMSTVA DOBAVITELJA</w:t>
      </w:r>
    </w:p>
    <w:p w14:paraId="565F223E" w14:textId="77777777" w:rsidR="004442B3" w:rsidRDefault="004442B3" w:rsidP="00C40D64">
      <w:pPr>
        <w:pStyle w:val="ListParagraph"/>
        <w:widowControl w:val="0"/>
        <w:numPr>
          <w:ilvl w:val="0"/>
          <w:numId w:val="4"/>
        </w:numPr>
        <w:spacing w:after="120" w:line="240" w:lineRule="auto"/>
        <w:contextualSpacing w:val="0"/>
        <w:jc w:val="both"/>
        <w:rPr>
          <w:rFonts w:ascii="Verdana" w:hAnsi="Verdana"/>
          <w:sz w:val="20"/>
          <w:szCs w:val="20"/>
          <w:lang w:val="sl-SI"/>
        </w:rPr>
      </w:pPr>
      <w:r w:rsidRPr="002F005C">
        <w:rPr>
          <w:rFonts w:ascii="Verdana" w:hAnsi="Verdana"/>
          <w:sz w:val="20"/>
          <w:szCs w:val="20"/>
          <w:lang w:val="sl-SI"/>
        </w:rPr>
        <w:t>Na zahtevo naročnika bo dobavitelj najmanj enkrat letno naročniku posredoval podatke o količini dobavljene električne energije.</w:t>
      </w:r>
    </w:p>
    <w:p w14:paraId="1AB19225" w14:textId="5D11FD09" w:rsidR="004442B3" w:rsidRDefault="004442B3" w:rsidP="00C40D64">
      <w:pPr>
        <w:pStyle w:val="ListParagraph"/>
        <w:widowControl w:val="0"/>
        <w:numPr>
          <w:ilvl w:val="0"/>
          <w:numId w:val="4"/>
        </w:numPr>
        <w:spacing w:after="120" w:line="240" w:lineRule="auto"/>
        <w:contextualSpacing w:val="0"/>
        <w:jc w:val="both"/>
        <w:rPr>
          <w:rFonts w:ascii="Verdana" w:hAnsi="Verdana"/>
          <w:sz w:val="20"/>
          <w:szCs w:val="20"/>
          <w:lang w:val="sl-SI"/>
        </w:rPr>
      </w:pPr>
      <w:r>
        <w:rPr>
          <w:rFonts w:ascii="Verdana" w:hAnsi="Verdana"/>
          <w:sz w:val="20"/>
          <w:szCs w:val="20"/>
          <w:lang w:val="sl-SI"/>
        </w:rPr>
        <w:t>Dobavitelj</w:t>
      </w:r>
      <w:r w:rsidRPr="00BA5B1D">
        <w:rPr>
          <w:rFonts w:ascii="Verdana" w:hAnsi="Verdana"/>
          <w:sz w:val="20"/>
          <w:szCs w:val="20"/>
          <w:lang w:val="sl-SI"/>
        </w:rPr>
        <w:t xml:space="preserve"> mora ob koncu vsakega leta izvajanja pogodbe navesti izvor električne energije, ki jo je dobavil naročniku, in priložiti potrdilo o unovčenju ustreznega števila potrdil o izvoru električne energije, s čimer dokazuje, da je bil </w:t>
      </w:r>
      <w:r>
        <w:rPr>
          <w:rFonts w:ascii="Verdana" w:hAnsi="Verdana"/>
          <w:sz w:val="20"/>
          <w:szCs w:val="20"/>
          <w:lang w:val="sl-SI"/>
        </w:rPr>
        <w:t xml:space="preserve">dobavljen </w:t>
      </w:r>
      <w:r w:rsidRPr="00BA5B1D">
        <w:rPr>
          <w:rFonts w:ascii="Verdana" w:hAnsi="Verdana"/>
          <w:sz w:val="20"/>
          <w:szCs w:val="20"/>
          <w:lang w:val="sl-SI"/>
        </w:rPr>
        <w:t xml:space="preserve">delež iz </w:t>
      </w:r>
      <w:r>
        <w:rPr>
          <w:rFonts w:ascii="Verdana" w:hAnsi="Verdana"/>
          <w:sz w:val="20"/>
          <w:szCs w:val="20"/>
          <w:lang w:val="sl-SI"/>
        </w:rPr>
        <w:t>2. člena te pogodbe</w:t>
      </w:r>
      <w:r w:rsidRPr="00BA5B1D">
        <w:rPr>
          <w:rFonts w:ascii="Verdana" w:hAnsi="Verdana"/>
          <w:sz w:val="20"/>
          <w:szCs w:val="20"/>
          <w:lang w:val="sl-SI"/>
        </w:rPr>
        <w:t xml:space="preserve"> dobavljene električne energije pridobljene iz OVE in/ali SPTE z visokim izkoristkom. Navedeno dokazilo na podlagi te pogodbe predloži naročniku, s katerim ima sklenjen okvirni sporazum. V primeru, da dobavitelj ne bo izpolnil pogodbenih obveznosti iz tega odstavka na način, predviden v pogodbi, bo naročnik prekinil to pogodbo, skupaj z okvirnim sporazumom, zaradi krivdnih razlogov na strani dobavitelja.</w:t>
      </w:r>
    </w:p>
    <w:p w14:paraId="041A2667" w14:textId="5D404871" w:rsidR="00F7483F" w:rsidRDefault="00F7483F" w:rsidP="00C40D64">
      <w:pPr>
        <w:pStyle w:val="ListParagraph"/>
        <w:widowControl w:val="0"/>
        <w:numPr>
          <w:ilvl w:val="0"/>
          <w:numId w:val="7"/>
        </w:numPr>
        <w:spacing w:before="120" w:after="120" w:line="240" w:lineRule="auto"/>
        <w:jc w:val="center"/>
        <w:rPr>
          <w:rFonts w:ascii="Verdana" w:hAnsi="Verdana"/>
          <w:sz w:val="20"/>
          <w:szCs w:val="20"/>
          <w:lang w:val="sl-SI"/>
        </w:rPr>
      </w:pPr>
      <w:r>
        <w:rPr>
          <w:rFonts w:ascii="Verdana" w:hAnsi="Verdana"/>
          <w:sz w:val="20"/>
          <w:szCs w:val="20"/>
          <w:lang w:val="sl-SI"/>
        </w:rPr>
        <w:t>č</w:t>
      </w:r>
      <w:r w:rsidR="004442B3" w:rsidRPr="00F7483F">
        <w:rPr>
          <w:rFonts w:ascii="Verdana" w:hAnsi="Verdana"/>
          <w:sz w:val="20"/>
          <w:szCs w:val="20"/>
          <w:lang w:val="sl-SI"/>
        </w:rPr>
        <w:t>len</w:t>
      </w:r>
    </w:p>
    <w:p w14:paraId="32FFA960" w14:textId="6074295A" w:rsidR="004442B3" w:rsidRDefault="004442B3" w:rsidP="00F7483F">
      <w:pPr>
        <w:pStyle w:val="ListParagraph"/>
        <w:widowControl w:val="0"/>
        <w:spacing w:before="120" w:after="120" w:line="240" w:lineRule="auto"/>
        <w:jc w:val="center"/>
        <w:rPr>
          <w:rFonts w:ascii="Verdana" w:hAnsi="Verdana"/>
          <w:sz w:val="20"/>
          <w:szCs w:val="28"/>
          <w:lang w:val="sl-SI"/>
        </w:rPr>
      </w:pPr>
      <w:r w:rsidRPr="00F7483F">
        <w:rPr>
          <w:rFonts w:ascii="Verdana" w:hAnsi="Verdana"/>
          <w:sz w:val="20"/>
          <w:szCs w:val="28"/>
          <w:lang w:val="sl-SI"/>
        </w:rPr>
        <w:t>PREVZEM/PRENOS MERILNIH MEST</w:t>
      </w:r>
    </w:p>
    <w:p w14:paraId="6363474C" w14:textId="77777777" w:rsidR="00F7483F" w:rsidRPr="00F7483F" w:rsidRDefault="00F7483F" w:rsidP="00F7483F">
      <w:pPr>
        <w:pStyle w:val="ListParagraph"/>
        <w:widowControl w:val="0"/>
        <w:spacing w:before="120" w:after="120" w:line="240" w:lineRule="auto"/>
        <w:rPr>
          <w:rFonts w:ascii="Verdana" w:hAnsi="Verdana"/>
          <w:sz w:val="20"/>
          <w:szCs w:val="20"/>
          <w:lang w:val="sl-SI"/>
        </w:rPr>
      </w:pPr>
    </w:p>
    <w:p w14:paraId="1511A038" w14:textId="77777777" w:rsidR="004442B3" w:rsidRPr="00BD686C" w:rsidRDefault="004442B3" w:rsidP="00C40D64">
      <w:pPr>
        <w:pStyle w:val="ListParagraph"/>
        <w:widowControl w:val="0"/>
        <w:numPr>
          <w:ilvl w:val="0"/>
          <w:numId w:val="11"/>
        </w:numPr>
        <w:spacing w:after="120" w:line="240" w:lineRule="auto"/>
        <w:contextualSpacing w:val="0"/>
        <w:jc w:val="both"/>
        <w:rPr>
          <w:rFonts w:ascii="Verdana" w:hAnsi="Verdana"/>
          <w:sz w:val="20"/>
          <w:szCs w:val="20"/>
          <w:lang w:val="sl-SI"/>
        </w:rPr>
      </w:pPr>
      <w:r w:rsidRPr="00BD686C">
        <w:rPr>
          <w:rFonts w:ascii="Verdana" w:hAnsi="Verdana"/>
          <w:sz w:val="20"/>
          <w:szCs w:val="20"/>
          <w:lang w:val="sl-SI"/>
        </w:rPr>
        <w:t>Naročnik pooblašča dobavitelja, da:</w:t>
      </w:r>
    </w:p>
    <w:p w14:paraId="603C3DBD" w14:textId="77777777" w:rsidR="004442B3" w:rsidRPr="00BD686C" w:rsidRDefault="004442B3" w:rsidP="00C40D64">
      <w:pPr>
        <w:pStyle w:val="ListParagraph"/>
        <w:widowControl w:val="0"/>
        <w:numPr>
          <w:ilvl w:val="0"/>
          <w:numId w:val="10"/>
        </w:numPr>
        <w:spacing w:after="120" w:line="240" w:lineRule="auto"/>
        <w:jc w:val="both"/>
        <w:rPr>
          <w:rFonts w:ascii="Verdana" w:hAnsi="Verdana"/>
          <w:sz w:val="20"/>
          <w:szCs w:val="20"/>
          <w:lang w:val="sl-SI"/>
        </w:rPr>
      </w:pPr>
      <w:r w:rsidRPr="00BD686C">
        <w:rPr>
          <w:rFonts w:ascii="Verdana" w:hAnsi="Verdana"/>
          <w:sz w:val="20"/>
          <w:szCs w:val="20"/>
          <w:lang w:val="sl-SI"/>
        </w:rPr>
        <w:t xml:space="preserve">v njegovem imenu ureja in vodi postopek menjave dobavitelja pri SODO in bilančne skupine ali podskupine. Naročnik pooblašča dobavitelja za izvedbo vsega potrebnega za izvajanje pogodbe o dobavi pri SODO, vključno s posredovanjem vseh podatkov, navedenih v pogodbi, pripravo, izpolnitvijo in podpisom izjav in podobnega, kar bi zahteval SODO in se nanašajo na naročnika. Naročnik bo dobavitelju nemudoma posredoval vse podatke, ki bi jih SODO zahteval od dobavitelja. Hkrati naročnik priznava vsa opravila dobavitelja v naročnikovem imenu za pravno veljavna. </w:t>
      </w:r>
    </w:p>
    <w:p w14:paraId="02195AC0" w14:textId="77777777" w:rsidR="004442B3" w:rsidRPr="00BD686C" w:rsidRDefault="004442B3" w:rsidP="00C40D64">
      <w:pPr>
        <w:pStyle w:val="ListParagraph"/>
        <w:widowControl w:val="0"/>
        <w:numPr>
          <w:ilvl w:val="0"/>
          <w:numId w:val="10"/>
        </w:numPr>
        <w:spacing w:after="120" w:line="240" w:lineRule="auto"/>
        <w:jc w:val="both"/>
        <w:rPr>
          <w:rFonts w:ascii="Verdana" w:hAnsi="Verdana"/>
          <w:sz w:val="20"/>
          <w:szCs w:val="20"/>
          <w:lang w:val="sl-SI"/>
        </w:rPr>
      </w:pPr>
      <w:r w:rsidRPr="00BD686C">
        <w:rPr>
          <w:rFonts w:ascii="Verdana" w:hAnsi="Verdana"/>
          <w:sz w:val="20"/>
          <w:szCs w:val="20"/>
          <w:lang w:val="sl-SI"/>
        </w:rPr>
        <w:t>se strinja, da SODO posreduje dobavitelju podatke o porabi električne energije za zadnjih 12 mesecev ter omogoči dobavitelju dostop do merilnih in obračunskih podatkov za merilna mesta, ki so predmet pogodbe in za morebitna nova merilna mesta. Naročnik dobavitelja pooblašča za dostop do baze podatkov (evidence merilnih mest) o naročniku in dobaviteljevem merilnem mestu, ki ga vodi SODO.</w:t>
      </w:r>
    </w:p>
    <w:p w14:paraId="21BB181F" w14:textId="77777777" w:rsidR="004442B3" w:rsidRDefault="004442B3" w:rsidP="00C40D64">
      <w:pPr>
        <w:pStyle w:val="ListParagraph"/>
        <w:widowControl w:val="0"/>
        <w:numPr>
          <w:ilvl w:val="0"/>
          <w:numId w:val="11"/>
        </w:numPr>
        <w:spacing w:after="120" w:line="240" w:lineRule="auto"/>
        <w:contextualSpacing w:val="0"/>
        <w:jc w:val="both"/>
        <w:rPr>
          <w:rFonts w:ascii="Verdana" w:hAnsi="Verdana"/>
          <w:sz w:val="20"/>
          <w:szCs w:val="20"/>
          <w:lang w:val="sl-SI"/>
        </w:rPr>
      </w:pPr>
      <w:r w:rsidRPr="00BD686C">
        <w:rPr>
          <w:rFonts w:ascii="Verdana" w:hAnsi="Verdana"/>
          <w:sz w:val="20"/>
          <w:szCs w:val="20"/>
          <w:lang w:val="sl-SI"/>
        </w:rPr>
        <w:t>Dobavitelj se zavezuje, da bo v času izvedbe pogodbe na zahtevo naročnika brezplačno posredoval vse pretekle obračunske podatke za merilna mesta iz te pogodbe.</w:t>
      </w:r>
    </w:p>
    <w:p w14:paraId="3B8B3941" w14:textId="24158EEA" w:rsidR="000D5380" w:rsidRPr="004442B3" w:rsidRDefault="004442B3" w:rsidP="00C40D64">
      <w:pPr>
        <w:pStyle w:val="ListParagraph"/>
        <w:widowControl w:val="0"/>
        <w:numPr>
          <w:ilvl w:val="0"/>
          <w:numId w:val="11"/>
        </w:numPr>
        <w:spacing w:after="120" w:line="240" w:lineRule="auto"/>
        <w:jc w:val="both"/>
        <w:rPr>
          <w:rFonts w:ascii="Verdana" w:hAnsi="Verdana"/>
          <w:sz w:val="20"/>
          <w:szCs w:val="20"/>
          <w:lang w:val="sl-SI"/>
        </w:rPr>
      </w:pPr>
      <w:r w:rsidRPr="004442B3">
        <w:rPr>
          <w:rFonts w:ascii="Verdana" w:hAnsi="Verdana"/>
          <w:sz w:val="20"/>
          <w:szCs w:val="20"/>
          <w:lang w:val="sl-SI"/>
        </w:rPr>
        <w:t>V kolikor bo naročnik razširil oz. uvedel dodatna merilna/odjemna mesta v času trajanja te pogodbe bodo ta merilna/odjemna mesta vključena v to pogodbo, v primeru večjega obsega (15% obstoječih merilnih/odjemnih mest, ki jih predvideva pogodba) pa bo naročnik za ta odjemna mesta izvedel novo povpraševanje v skladu s pravili okvirnega sporazuma.</w:t>
      </w:r>
    </w:p>
    <w:p w14:paraId="01D02E65" w14:textId="6ADA07A7" w:rsidR="000D5380" w:rsidRPr="00F7483F" w:rsidRDefault="000D5380" w:rsidP="00C40D64">
      <w:pPr>
        <w:pStyle w:val="ListParagraph"/>
        <w:widowControl w:val="0"/>
        <w:numPr>
          <w:ilvl w:val="0"/>
          <w:numId w:val="7"/>
        </w:numPr>
        <w:spacing w:after="120" w:line="240" w:lineRule="auto"/>
        <w:jc w:val="center"/>
        <w:rPr>
          <w:rFonts w:ascii="Verdana" w:hAnsi="Verdana"/>
          <w:sz w:val="20"/>
          <w:szCs w:val="20"/>
          <w:lang w:val="sl-SI"/>
        </w:rPr>
      </w:pPr>
      <w:r w:rsidRPr="00F7483F">
        <w:rPr>
          <w:rFonts w:ascii="Verdana" w:hAnsi="Verdana"/>
          <w:sz w:val="20"/>
          <w:szCs w:val="20"/>
          <w:lang w:val="sl-SI"/>
        </w:rPr>
        <w:t>člen</w:t>
      </w:r>
    </w:p>
    <w:p w14:paraId="2A907D42" w14:textId="77777777" w:rsidR="000D5380" w:rsidRPr="00D34477" w:rsidRDefault="000D5380" w:rsidP="003E7AA4">
      <w:pPr>
        <w:widowControl w:val="0"/>
        <w:spacing w:before="120" w:after="120" w:line="240" w:lineRule="auto"/>
        <w:ind w:firstLine="357"/>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04221909" w14:textId="06AA5B6E" w:rsidR="000D5380" w:rsidRDefault="004442B3" w:rsidP="00C40D64">
      <w:pPr>
        <w:widowControl w:val="0"/>
        <w:numPr>
          <w:ilvl w:val="2"/>
          <w:numId w:val="6"/>
        </w:numPr>
        <w:spacing w:before="120" w:after="120" w:line="240" w:lineRule="auto"/>
        <w:jc w:val="both"/>
        <w:rPr>
          <w:rFonts w:ascii="Verdana" w:hAnsi="Verdana"/>
          <w:sz w:val="20"/>
          <w:szCs w:val="20"/>
          <w:lang w:val="sl-SI"/>
        </w:rPr>
      </w:pPr>
      <w:r>
        <w:rPr>
          <w:rFonts w:ascii="Verdana" w:hAnsi="Verdana"/>
          <w:sz w:val="20"/>
          <w:szCs w:val="20"/>
          <w:lang w:val="sl-SI"/>
        </w:rPr>
        <w:t>Finančno zavarovanje ni zahtevano, če v posameznem povpraševanju ni izrecno zahtevano drugače.</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452574" w:rsidRPr="00273225" w14:paraId="21EB8FFE" w14:textId="77777777" w:rsidTr="00831257">
        <w:trPr>
          <w:trHeight w:val="20"/>
          <w:jc w:val="right"/>
        </w:trPr>
        <w:tc>
          <w:tcPr>
            <w:tcW w:w="4830" w:type="dxa"/>
            <w:tcBorders>
              <w:bottom w:val="single" w:sz="4" w:space="0" w:color="auto"/>
            </w:tcBorders>
            <w:shd w:val="clear" w:color="auto" w:fill="FDB940"/>
            <w:vAlign w:val="center"/>
          </w:tcPr>
          <w:p w14:paraId="2B272066"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Vrsta zavarovanja</w:t>
            </w:r>
          </w:p>
        </w:tc>
        <w:tc>
          <w:tcPr>
            <w:tcW w:w="2126" w:type="dxa"/>
            <w:tcBorders>
              <w:bottom w:val="single" w:sz="4" w:space="0" w:color="auto"/>
            </w:tcBorders>
            <w:shd w:val="clear" w:color="auto" w:fill="FDB940"/>
            <w:vAlign w:val="center"/>
          </w:tcPr>
          <w:p w14:paraId="1712B064"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Vrednost in valuta</w:t>
            </w:r>
          </w:p>
        </w:tc>
        <w:tc>
          <w:tcPr>
            <w:tcW w:w="2054" w:type="dxa"/>
            <w:tcBorders>
              <w:bottom w:val="single" w:sz="4" w:space="0" w:color="auto"/>
            </w:tcBorders>
            <w:shd w:val="clear" w:color="auto" w:fill="FDB940"/>
            <w:vAlign w:val="center"/>
          </w:tcPr>
          <w:p w14:paraId="43059CCF"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Veljavnost</w:t>
            </w:r>
          </w:p>
          <w:p w14:paraId="495D78AE" w14:textId="77777777" w:rsidR="00452574" w:rsidRPr="00273225" w:rsidRDefault="00452574" w:rsidP="001C6078">
            <w:pPr>
              <w:widowControl w:val="0"/>
              <w:spacing w:after="0" w:line="240" w:lineRule="auto"/>
              <w:jc w:val="center"/>
              <w:rPr>
                <w:rFonts w:ascii="Verdana" w:hAnsi="Verdana"/>
                <w:sz w:val="20"/>
                <w:szCs w:val="20"/>
                <w:lang w:val="sl-SI"/>
              </w:rPr>
            </w:pPr>
            <w:r w:rsidRPr="00273225">
              <w:rPr>
                <w:rFonts w:ascii="Verdana" w:hAnsi="Verdana"/>
                <w:sz w:val="20"/>
                <w:szCs w:val="20"/>
                <w:lang w:val="sl-SI"/>
              </w:rPr>
              <w:t>(od / do)</w:t>
            </w:r>
          </w:p>
        </w:tc>
      </w:tr>
      <w:tr w:rsidR="00452574" w:rsidRPr="00273225" w14:paraId="34EC7816" w14:textId="77777777" w:rsidTr="00831257">
        <w:trPr>
          <w:trHeight w:val="20"/>
          <w:jc w:val="right"/>
        </w:trPr>
        <w:tc>
          <w:tcPr>
            <w:tcW w:w="4830" w:type="dxa"/>
            <w:tcBorders>
              <w:bottom w:val="single" w:sz="4" w:space="0" w:color="auto"/>
            </w:tcBorders>
            <w:shd w:val="clear" w:color="auto" w:fill="FFF0D5"/>
            <w:vAlign w:val="center"/>
          </w:tcPr>
          <w:p w14:paraId="64FFC283" w14:textId="77777777" w:rsidR="00452574" w:rsidRPr="00C7043C" w:rsidRDefault="00452574" w:rsidP="001C6078">
            <w:pPr>
              <w:widowControl w:val="0"/>
              <w:spacing w:after="0" w:line="240" w:lineRule="auto"/>
              <w:jc w:val="both"/>
              <w:rPr>
                <w:rFonts w:ascii="Verdana" w:hAnsi="Verdana"/>
                <w:sz w:val="20"/>
                <w:szCs w:val="20"/>
                <w:highlight w:val="lightGray"/>
                <w:lang w:val="sl-SI"/>
              </w:rPr>
            </w:pPr>
            <w:r w:rsidRPr="008F3F65">
              <w:rPr>
                <w:rFonts w:ascii="Verdana" w:hAnsi="Verdana"/>
                <w:sz w:val="20"/>
                <w:szCs w:val="20"/>
                <w:highlight w:val="lightGray"/>
                <w:lang w:val="sl-SI"/>
              </w:rPr>
              <w:t xml:space="preserve">Bančna garancija po Enotnih pravilih za garancije na poziv (EPGP), revizija iz leta 2010, izdana pri MTZ pod št. 758 ali enakovredno kavcijsko </w:t>
            </w:r>
            <w:r w:rsidRPr="00C7043C">
              <w:rPr>
                <w:rFonts w:ascii="Verdana" w:hAnsi="Verdana"/>
                <w:sz w:val="20"/>
                <w:szCs w:val="20"/>
                <w:highlight w:val="lightGray"/>
                <w:lang w:val="sl-SI"/>
              </w:rPr>
              <w:t xml:space="preserve">zavarovanje zavarovalnice. </w:t>
            </w:r>
          </w:p>
          <w:p w14:paraId="42D6011E" w14:textId="77777777" w:rsidR="00452574" w:rsidRDefault="00452574" w:rsidP="001C6078">
            <w:pPr>
              <w:widowControl w:val="0"/>
              <w:spacing w:after="0" w:line="240" w:lineRule="auto"/>
              <w:jc w:val="both"/>
              <w:rPr>
                <w:rFonts w:ascii="Verdana" w:hAnsi="Verdana"/>
                <w:sz w:val="20"/>
                <w:szCs w:val="20"/>
                <w:highlight w:val="lightGray"/>
                <w:lang w:val="sl-SI"/>
              </w:rPr>
            </w:pPr>
            <w:r w:rsidRPr="00C7043C">
              <w:rPr>
                <w:rFonts w:ascii="Verdana" w:hAnsi="Verdana"/>
                <w:sz w:val="20"/>
                <w:szCs w:val="20"/>
                <w:highlight w:val="lightGray"/>
                <w:lang w:val="sl-SI"/>
              </w:rPr>
              <w:t xml:space="preserve">Finančno zavarovanje mora vsebovati določilo iz katerega jasno izhaja, da za bančno garancijo veljajo Enotna pravila za garancije na poziv (EPGP), revizija iz leta 2010, izdane pri </w:t>
            </w:r>
            <w:r w:rsidRPr="00C7043C">
              <w:rPr>
                <w:rFonts w:ascii="Verdana" w:hAnsi="Verdana"/>
                <w:sz w:val="20"/>
                <w:szCs w:val="20"/>
                <w:highlight w:val="lightGray"/>
                <w:lang w:val="sl-SI"/>
              </w:rPr>
              <w:lastRenderedPageBreak/>
              <w:t>MTZ pod št. 758</w:t>
            </w:r>
            <w:r>
              <w:rPr>
                <w:rFonts w:ascii="Verdana" w:hAnsi="Verdana"/>
                <w:sz w:val="20"/>
                <w:szCs w:val="20"/>
                <w:highlight w:val="lightGray"/>
                <w:lang w:val="sl-SI"/>
              </w:rPr>
              <w:t>.</w:t>
            </w:r>
          </w:p>
          <w:p w14:paraId="26F5BA76" w14:textId="77777777" w:rsidR="00452574" w:rsidRPr="008F3F65" w:rsidRDefault="00452574" w:rsidP="001C6078">
            <w:pPr>
              <w:widowControl w:val="0"/>
              <w:spacing w:after="0" w:line="240" w:lineRule="auto"/>
              <w:jc w:val="both"/>
              <w:rPr>
                <w:rFonts w:ascii="Verdana" w:hAnsi="Verdana"/>
                <w:sz w:val="20"/>
                <w:szCs w:val="20"/>
                <w:highlight w:val="lightGray"/>
                <w:lang w:val="sl-SI"/>
              </w:rPr>
            </w:pPr>
            <w:r w:rsidRPr="008F3F65">
              <w:rPr>
                <w:rFonts w:ascii="Verdana" w:hAnsi="Verdana"/>
                <w:sz w:val="20"/>
                <w:szCs w:val="20"/>
                <w:highlight w:val="lightGray"/>
                <w:lang w:val="sl-SI"/>
              </w:rPr>
              <w:t>/</w:t>
            </w:r>
          </w:p>
          <w:p w14:paraId="3BFEFD2F" w14:textId="77777777" w:rsidR="00452574" w:rsidRPr="00273225" w:rsidRDefault="00452574" w:rsidP="001C6078">
            <w:pPr>
              <w:widowControl w:val="0"/>
              <w:spacing w:after="0" w:line="240" w:lineRule="auto"/>
              <w:jc w:val="both"/>
              <w:rPr>
                <w:rFonts w:ascii="Verdana" w:hAnsi="Verdana"/>
                <w:sz w:val="20"/>
                <w:szCs w:val="20"/>
                <w:lang w:val="sl-SI"/>
              </w:rPr>
            </w:pPr>
            <w:r w:rsidRPr="008F3F65">
              <w:rPr>
                <w:rFonts w:ascii="Verdana" w:hAnsi="Verdana"/>
                <w:sz w:val="20"/>
                <w:szCs w:val="20"/>
                <w:highlight w:val="lightGray"/>
                <w:lang w:val="sl-SI"/>
              </w:rPr>
              <w:t>Podpisana in žigosana bianco menica skupaj s pooblastilom za izpolnitev ali poroštvo.</w:t>
            </w:r>
          </w:p>
        </w:tc>
        <w:tc>
          <w:tcPr>
            <w:tcW w:w="2126" w:type="dxa"/>
            <w:tcBorders>
              <w:bottom w:val="single" w:sz="4" w:space="0" w:color="auto"/>
            </w:tcBorders>
            <w:shd w:val="clear" w:color="auto" w:fill="FFF0D5"/>
            <w:vAlign w:val="center"/>
          </w:tcPr>
          <w:p w14:paraId="4043D661" w14:textId="77777777" w:rsidR="00452574" w:rsidRPr="00F677B7" w:rsidRDefault="00452574" w:rsidP="001C6078">
            <w:pPr>
              <w:widowControl w:val="0"/>
              <w:spacing w:after="0" w:line="240" w:lineRule="auto"/>
              <w:jc w:val="center"/>
              <w:rPr>
                <w:rFonts w:ascii="Verdana" w:hAnsi="Verdana"/>
                <w:sz w:val="20"/>
                <w:szCs w:val="20"/>
                <w:lang w:val="sl-SI"/>
              </w:rPr>
            </w:pPr>
            <w:r w:rsidRPr="00F677B7">
              <w:rPr>
                <w:rFonts w:ascii="Verdana" w:hAnsi="Verdana"/>
                <w:sz w:val="20"/>
                <w:szCs w:val="20"/>
                <w:lang w:val="sl-SI"/>
              </w:rPr>
              <w:lastRenderedPageBreak/>
              <w:t>EUR</w:t>
            </w:r>
          </w:p>
          <w:p w14:paraId="05842D12" w14:textId="77777777" w:rsidR="00452574" w:rsidRPr="00273225" w:rsidRDefault="00452574" w:rsidP="001C6078">
            <w:pPr>
              <w:widowControl w:val="0"/>
              <w:spacing w:after="0" w:line="240" w:lineRule="auto"/>
              <w:jc w:val="center"/>
              <w:rPr>
                <w:rFonts w:ascii="Verdana" w:hAnsi="Verdana"/>
                <w:i/>
                <w:sz w:val="14"/>
                <w:szCs w:val="14"/>
                <w:lang w:val="sl-SI"/>
              </w:rPr>
            </w:pPr>
            <w:r w:rsidRPr="00CD3E7B">
              <w:rPr>
                <w:rFonts w:ascii="Verdana" w:hAnsi="Verdana"/>
                <w:i/>
                <w:sz w:val="14"/>
                <w:szCs w:val="14"/>
                <w:highlight w:val="lightGray"/>
                <w:lang w:val="sl-SI"/>
              </w:rPr>
              <w:t>(največ 10% skupne pogodbene vrednosti z DDV</w:t>
            </w:r>
            <w:r w:rsidRPr="00CD3E7B">
              <w:rPr>
                <w:rFonts w:ascii="Verdana" w:hAnsi="Verdana"/>
                <w:i/>
                <w:sz w:val="14"/>
                <w:szCs w:val="14"/>
                <w:lang w:val="sl-SI"/>
              </w:rPr>
              <w:t>)</w:t>
            </w:r>
          </w:p>
        </w:tc>
        <w:tc>
          <w:tcPr>
            <w:tcW w:w="2054" w:type="dxa"/>
            <w:tcBorders>
              <w:bottom w:val="single" w:sz="4" w:space="0" w:color="auto"/>
            </w:tcBorders>
            <w:shd w:val="clear" w:color="auto" w:fill="FFF0D5"/>
            <w:vAlign w:val="center"/>
          </w:tcPr>
          <w:p w14:paraId="3AC1B93F" w14:textId="21E7F24F" w:rsidR="00452574" w:rsidRPr="00273225" w:rsidRDefault="00452574" w:rsidP="001C6078">
            <w:pPr>
              <w:widowControl w:val="0"/>
              <w:spacing w:after="0" w:line="240" w:lineRule="auto"/>
              <w:jc w:val="center"/>
              <w:rPr>
                <w:rFonts w:ascii="Verdana" w:hAnsi="Verdana"/>
                <w:sz w:val="20"/>
                <w:szCs w:val="20"/>
                <w:lang w:val="sl-SI"/>
              </w:rPr>
            </w:pPr>
            <w:r w:rsidRPr="002926BC">
              <w:rPr>
                <w:rFonts w:ascii="Verdana" w:hAnsi="Verdana"/>
                <w:sz w:val="20"/>
                <w:szCs w:val="20"/>
                <w:lang w:val="sl-SI"/>
              </w:rPr>
              <w:t>od z</w:t>
            </w:r>
            <w:r>
              <w:rPr>
                <w:rFonts w:ascii="Verdana" w:hAnsi="Verdana"/>
                <w:sz w:val="20"/>
                <w:szCs w:val="20"/>
                <w:lang w:val="sl-SI"/>
              </w:rPr>
              <w:t xml:space="preserve">ačetka veljavnosti pogodbe do ….. </w:t>
            </w:r>
          </w:p>
        </w:tc>
      </w:tr>
    </w:tbl>
    <w:p w14:paraId="1DD4AD24" w14:textId="05852E64" w:rsidR="0013138A" w:rsidRPr="00483AEC" w:rsidRDefault="0013138A" w:rsidP="00483AEC">
      <w:pPr>
        <w:spacing w:after="120" w:line="240" w:lineRule="auto"/>
        <w:jc w:val="both"/>
        <w:rPr>
          <w:rFonts w:ascii="Verdana" w:hAnsi="Verdana"/>
          <w:sz w:val="20"/>
          <w:szCs w:val="20"/>
          <w:lang w:val="sl-SI"/>
        </w:rPr>
      </w:pPr>
    </w:p>
    <w:p w14:paraId="3C4F0F90" w14:textId="692C6B3C" w:rsidR="000D5380" w:rsidRPr="00D34477" w:rsidRDefault="000D5380" w:rsidP="00C40D64">
      <w:pPr>
        <w:pStyle w:val="ListParagraph"/>
        <w:widowControl w:val="0"/>
        <w:numPr>
          <w:ilvl w:val="0"/>
          <w:numId w:val="7"/>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14:paraId="4014CA99" w14:textId="77777777" w:rsidR="000D5380" w:rsidRPr="00D34477" w:rsidRDefault="000D5380" w:rsidP="003E7AA4">
      <w:pPr>
        <w:widowControl w:val="0"/>
        <w:spacing w:before="120" w:after="120" w:line="240" w:lineRule="auto"/>
        <w:ind w:firstLine="357"/>
        <w:jc w:val="center"/>
        <w:rPr>
          <w:rFonts w:ascii="Verdana" w:hAnsi="Verdana"/>
          <w:sz w:val="20"/>
          <w:szCs w:val="20"/>
          <w:lang w:val="sl-SI"/>
        </w:rPr>
      </w:pPr>
      <w:r w:rsidRPr="00D34477">
        <w:rPr>
          <w:rFonts w:ascii="Verdana" w:hAnsi="Verdana"/>
          <w:sz w:val="20"/>
          <w:szCs w:val="20"/>
          <w:lang w:val="sl-SI"/>
        </w:rPr>
        <w:t>KONČNE DOLOČBE</w:t>
      </w:r>
    </w:p>
    <w:p w14:paraId="5FA46B4A" w14:textId="77777777" w:rsidR="00F7483F" w:rsidRDefault="00F7483F" w:rsidP="00C40D64">
      <w:pPr>
        <w:widowControl w:val="0"/>
        <w:numPr>
          <w:ilvl w:val="2"/>
          <w:numId w:val="5"/>
        </w:numPr>
        <w:spacing w:before="120" w:after="120" w:line="240" w:lineRule="auto"/>
        <w:jc w:val="both"/>
        <w:rPr>
          <w:rFonts w:ascii="Verdana" w:hAnsi="Verdana"/>
          <w:sz w:val="20"/>
          <w:szCs w:val="20"/>
          <w:lang w:val="sl-SI"/>
        </w:rPr>
      </w:pPr>
      <w:r>
        <w:rPr>
          <w:rFonts w:ascii="Verdana" w:hAnsi="Verdana"/>
          <w:sz w:val="20"/>
          <w:szCs w:val="20"/>
          <w:lang w:val="sl-SI"/>
        </w:rPr>
        <w:t>Pogodba stopi v veljavo z dnem podpisa pogodbe s strani obeh pogodbenih strank, pri čemer se dobav vrši v obdobju od …………… do …………. .</w:t>
      </w:r>
    </w:p>
    <w:p w14:paraId="41B4E800" w14:textId="77777777" w:rsidR="00F7483F" w:rsidRPr="00D34477" w:rsidRDefault="00F7483F" w:rsidP="00C40D64">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14:paraId="543513FA" w14:textId="77777777" w:rsidR="00F7483F" w:rsidRPr="00D34477" w:rsidRDefault="00F7483F" w:rsidP="00C40D64">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134C3EB5" w14:textId="77777777" w:rsidR="00F7483F" w:rsidRPr="00D34477" w:rsidRDefault="00F7483F" w:rsidP="00C40D64">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6F0E53E8" w14:textId="77777777" w:rsidR="00F7483F" w:rsidRPr="00D34477" w:rsidRDefault="00F7483F" w:rsidP="00C40D64">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13B5E74A" w14:textId="77777777" w:rsidR="00F7483F" w:rsidRPr="00D34477" w:rsidRDefault="00F7483F" w:rsidP="00C40D64">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76CD09" w14:textId="77777777" w:rsidR="00F7483F" w:rsidRPr="00D34477" w:rsidRDefault="00F7483F" w:rsidP="00C40D64">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14:paraId="1CA4B33B" w14:textId="77777777" w:rsidR="00F7483F" w:rsidRPr="00D34477" w:rsidRDefault="00F7483F" w:rsidP="00C40D64">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14:paraId="757C938E" w14:textId="77777777" w:rsidR="00F7483F" w:rsidRPr="00D34477" w:rsidRDefault="00F7483F" w:rsidP="00C40D64">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4735A679" w14:textId="77777777" w:rsidR="00F7483F" w:rsidRDefault="00F7483F" w:rsidP="00C40D64">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p w14:paraId="0C54E7A7"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9B27DE" w:rsidRPr="007A6574" w14:paraId="4885E361" w14:textId="77777777" w:rsidTr="00831257">
        <w:trPr>
          <w:trHeight w:val="20"/>
          <w:jc w:val="center"/>
        </w:trPr>
        <w:tc>
          <w:tcPr>
            <w:tcW w:w="9695" w:type="dxa"/>
            <w:gridSpan w:val="2"/>
            <w:shd w:val="clear" w:color="auto" w:fill="FDB940"/>
            <w:vAlign w:val="center"/>
          </w:tcPr>
          <w:p w14:paraId="3047AB5D"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3389D888" w14:textId="77777777" w:rsidTr="00831257">
        <w:trPr>
          <w:trHeight w:val="20"/>
          <w:jc w:val="center"/>
        </w:trPr>
        <w:tc>
          <w:tcPr>
            <w:tcW w:w="2405" w:type="dxa"/>
            <w:shd w:val="clear" w:color="auto" w:fill="FFF0D5"/>
            <w:vAlign w:val="center"/>
          </w:tcPr>
          <w:p w14:paraId="5370DCD9" w14:textId="77777777" w:rsidR="00F70EF0" w:rsidRPr="00AE45D5" w:rsidRDefault="00F70EF0" w:rsidP="00C40D64">
            <w:pPr>
              <w:widowControl w:val="0"/>
              <w:numPr>
                <w:ilvl w:val="0"/>
                <w:numId w:val="3"/>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0D5"/>
            <w:vAlign w:val="center"/>
          </w:tcPr>
          <w:p w14:paraId="2BD55E27" w14:textId="378732D6" w:rsidR="00F70EF0" w:rsidRPr="00AE45D5" w:rsidRDefault="00F7483F"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Priloga 1: Seznam merilnih mest </w:t>
            </w:r>
          </w:p>
        </w:tc>
      </w:tr>
      <w:tr w:rsidR="00F70EF0" w:rsidRPr="007A6574" w14:paraId="415C350F" w14:textId="77777777" w:rsidTr="00831257">
        <w:trPr>
          <w:trHeight w:val="20"/>
          <w:jc w:val="center"/>
        </w:trPr>
        <w:tc>
          <w:tcPr>
            <w:tcW w:w="2405" w:type="dxa"/>
            <w:shd w:val="clear" w:color="auto" w:fill="FFF0D5"/>
            <w:vAlign w:val="center"/>
          </w:tcPr>
          <w:p w14:paraId="4A44B57E" w14:textId="77777777" w:rsidR="00F70EF0" w:rsidRPr="00AE45D5" w:rsidRDefault="00F70EF0" w:rsidP="00C40D64">
            <w:pPr>
              <w:widowControl w:val="0"/>
              <w:numPr>
                <w:ilvl w:val="0"/>
                <w:numId w:val="3"/>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0D5"/>
            <w:vAlign w:val="center"/>
          </w:tcPr>
          <w:p w14:paraId="48F385AE" w14:textId="60D9E106" w:rsidR="00F70EF0" w:rsidRPr="00AE45D5" w:rsidRDefault="00F7483F" w:rsidP="00B83186">
            <w:pPr>
              <w:widowControl w:val="0"/>
              <w:spacing w:after="0" w:line="240" w:lineRule="auto"/>
              <w:jc w:val="both"/>
              <w:rPr>
                <w:rFonts w:ascii="Verdana" w:hAnsi="Verdana"/>
                <w:sz w:val="20"/>
                <w:szCs w:val="20"/>
                <w:lang w:val="sl-SI"/>
              </w:rPr>
            </w:pPr>
            <w:r>
              <w:rPr>
                <w:rFonts w:ascii="Verdana" w:hAnsi="Verdana"/>
                <w:sz w:val="20"/>
                <w:szCs w:val="20"/>
                <w:lang w:val="sl-SI"/>
              </w:rPr>
              <w:t>Okvirni sporazum</w:t>
            </w:r>
          </w:p>
        </w:tc>
      </w:tr>
    </w:tbl>
    <w:p w14:paraId="7E553E07" w14:textId="77777777" w:rsidR="00F2229C" w:rsidRDefault="00F2229C" w:rsidP="00B83186">
      <w:pPr>
        <w:widowControl w:val="0"/>
        <w:spacing w:after="0" w:line="240" w:lineRule="auto"/>
        <w:jc w:val="both"/>
        <w:rPr>
          <w:rFonts w:ascii="Verdana" w:hAnsi="Verdana"/>
          <w:sz w:val="20"/>
          <w:szCs w:val="28"/>
          <w:lang w:val="sl-SI"/>
        </w:rPr>
      </w:pPr>
    </w:p>
    <w:p w14:paraId="27399645"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2DE02062" w14:textId="77777777" w:rsidTr="00831257">
        <w:trPr>
          <w:trHeight w:val="20"/>
          <w:jc w:val="center"/>
        </w:trPr>
        <w:tc>
          <w:tcPr>
            <w:tcW w:w="4484" w:type="dxa"/>
            <w:tcBorders>
              <w:bottom w:val="single" w:sz="4" w:space="0" w:color="auto"/>
              <w:right w:val="single" w:sz="4" w:space="0" w:color="auto"/>
            </w:tcBorders>
            <w:shd w:val="clear" w:color="auto" w:fill="FDB940"/>
            <w:vAlign w:val="center"/>
          </w:tcPr>
          <w:p w14:paraId="67469521"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19D3F872"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DB940"/>
            <w:vAlign w:val="center"/>
          </w:tcPr>
          <w:p w14:paraId="73EEDEA4"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14:paraId="3E18B86B" w14:textId="77777777" w:rsidTr="00831257">
        <w:trPr>
          <w:trHeight w:val="20"/>
          <w:jc w:val="center"/>
        </w:trPr>
        <w:tc>
          <w:tcPr>
            <w:tcW w:w="4484" w:type="dxa"/>
            <w:tcBorders>
              <w:bottom w:val="single" w:sz="4" w:space="0" w:color="auto"/>
              <w:right w:val="single" w:sz="4" w:space="0" w:color="auto"/>
            </w:tcBorders>
            <w:shd w:val="clear" w:color="auto" w:fill="FFF0D5"/>
            <w:vAlign w:val="center"/>
          </w:tcPr>
          <w:p w14:paraId="0A7C67C6" w14:textId="586A9C2B" w:rsidR="00F2229C" w:rsidRPr="007A6574" w:rsidRDefault="00F2229C" w:rsidP="00B83186">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14:paraId="61A5C0E3"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0D5"/>
            <w:vAlign w:val="center"/>
          </w:tcPr>
          <w:p w14:paraId="2EE5B9E1"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6234F8C9"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5567A5E1" w14:textId="413C7D13" w:rsidR="00F2229C" w:rsidRPr="007A6574" w:rsidRDefault="005B13E2" w:rsidP="00B83186">
            <w:pPr>
              <w:widowControl w:val="0"/>
              <w:spacing w:after="0" w:line="240" w:lineRule="auto"/>
              <w:rPr>
                <w:rFonts w:ascii="Verdana" w:hAnsi="Verdana"/>
                <w:sz w:val="20"/>
                <w:szCs w:val="20"/>
                <w:lang w:val="sl-SI"/>
              </w:rPr>
            </w:pPr>
            <w:r>
              <w:rPr>
                <w:rFonts w:ascii="Verdana" w:hAnsi="Verdana"/>
                <w:sz w:val="20"/>
                <w:szCs w:val="20"/>
                <w:lang w:val="sl-SI"/>
              </w:rPr>
              <w:t>.................</w:t>
            </w:r>
            <w:r w:rsidR="00F2229C"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4538DBF"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1471862C"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5C0ADFB6" w14:textId="77777777" w:rsidTr="00BB5172">
        <w:trPr>
          <w:trHeight w:val="20"/>
          <w:jc w:val="center"/>
        </w:trPr>
        <w:tc>
          <w:tcPr>
            <w:tcW w:w="4484" w:type="dxa"/>
            <w:tcBorders>
              <w:top w:val="nil"/>
              <w:left w:val="nil"/>
              <w:bottom w:val="nil"/>
              <w:right w:val="nil"/>
            </w:tcBorders>
            <w:shd w:val="clear" w:color="auto" w:fill="auto"/>
          </w:tcPr>
          <w:p w14:paraId="253916B4" w14:textId="3CB2790A"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5B13E2">
              <w:rPr>
                <w:rFonts w:ascii="Verdana" w:hAnsi="Verdana"/>
                <w:sz w:val="20"/>
                <w:szCs w:val="20"/>
                <w:lang w:val="sl-SI"/>
              </w:rPr>
              <w:t>............................</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sidR="007E646A">
              <w:rPr>
                <w:rFonts w:ascii="Verdana" w:hAnsi="Verdana"/>
                <w:sz w:val="20"/>
                <w:szCs w:val="20"/>
                <w:lang w:val="sl-SI"/>
              </w:rPr>
              <w:fldChar w:fldCharType="separate"/>
            </w:r>
            <w:r w:rsidR="007E646A">
              <w:rPr>
                <w:rFonts w:ascii="Verdana" w:hAnsi="Verdana"/>
                <w:sz w:val="20"/>
                <w:szCs w:val="20"/>
                <w:lang w:val="sl-SI"/>
              </w:rPr>
              <w:t>Aleš Bržan</w:t>
            </w:r>
            <w:r>
              <w:rPr>
                <w:rFonts w:ascii="Verdana" w:hAnsi="Verdana"/>
                <w:sz w:val="20"/>
                <w:szCs w:val="20"/>
                <w:lang w:val="sl-SI"/>
              </w:rPr>
              <w:fldChar w:fldCharType="end"/>
            </w:r>
          </w:p>
        </w:tc>
        <w:tc>
          <w:tcPr>
            <w:tcW w:w="708" w:type="dxa"/>
            <w:tcBorders>
              <w:top w:val="nil"/>
              <w:left w:val="nil"/>
              <w:bottom w:val="nil"/>
              <w:right w:val="nil"/>
            </w:tcBorders>
            <w:shd w:val="clear" w:color="auto" w:fill="auto"/>
          </w:tcPr>
          <w:p w14:paraId="1A28CF82"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tcPr>
          <w:p w14:paraId="2AAD7915"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28353517" w14:textId="77777777" w:rsidR="00F2229C" w:rsidRPr="00523F86" w:rsidRDefault="00F2229C" w:rsidP="00B83186">
      <w:pPr>
        <w:widowControl w:val="0"/>
        <w:spacing w:after="0" w:line="240" w:lineRule="auto"/>
        <w:rPr>
          <w:rFonts w:ascii="Verdana" w:hAnsi="Verdana"/>
          <w:sz w:val="20"/>
          <w:szCs w:val="20"/>
          <w:lang w:val="sl-SI"/>
        </w:rPr>
      </w:pPr>
    </w:p>
    <w:p w14:paraId="1C428362" w14:textId="77777777"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515AE" w14:textId="77777777" w:rsidR="00C2289E" w:rsidRDefault="00C2289E" w:rsidP="00C108AE">
      <w:pPr>
        <w:spacing w:after="0" w:line="240" w:lineRule="auto"/>
      </w:pPr>
      <w:r>
        <w:separator/>
      </w:r>
    </w:p>
  </w:endnote>
  <w:endnote w:type="continuationSeparator" w:id="0">
    <w:p w14:paraId="33AA5759" w14:textId="77777777" w:rsidR="00C2289E" w:rsidRDefault="00C2289E"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B1D4" w14:textId="77777777" w:rsidR="007E646A" w:rsidRDefault="007E6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14:paraId="2FAF7E76" w14:textId="77777777" w:rsidTr="00045132">
      <w:tc>
        <w:tcPr>
          <w:tcW w:w="6588" w:type="dxa"/>
          <w:shd w:val="clear" w:color="auto" w:fill="auto"/>
        </w:tcPr>
        <w:p w14:paraId="1798E98A" w14:textId="76265907" w:rsidR="00C108AE" w:rsidRPr="001774F3" w:rsidRDefault="00867DDE" w:rsidP="00045132">
          <w:pPr>
            <w:pStyle w:val="Footer"/>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r w:rsidR="00985EF2" w:rsidRPr="007443C6">
            <w:rPr>
              <w:rFonts w:ascii="Verdana" w:hAnsi="Verdana"/>
              <w:i/>
              <w:sz w:val="16"/>
              <w:szCs w:val="16"/>
              <w:lang w:val="sl-SI"/>
            </w:rPr>
            <w:t xml:space="preserve"> ver. 3.</w:t>
          </w:r>
          <w:r w:rsidR="00157314">
            <w:rPr>
              <w:rFonts w:ascii="Verdana" w:hAnsi="Verdana"/>
              <w:i/>
              <w:sz w:val="16"/>
              <w:szCs w:val="16"/>
              <w:lang w:val="sl-SI"/>
            </w:rPr>
            <w:t>2</w:t>
          </w:r>
        </w:p>
      </w:tc>
      <w:tc>
        <w:tcPr>
          <w:tcW w:w="6588" w:type="dxa"/>
          <w:shd w:val="clear" w:color="auto" w:fill="auto"/>
          <w:vAlign w:val="center"/>
        </w:tcPr>
        <w:p w14:paraId="60441A3D" w14:textId="77777777" w:rsidR="00C108AE" w:rsidRPr="001774F3" w:rsidRDefault="00C108AE" w:rsidP="004F185D">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F97736">
            <w:rPr>
              <w:rFonts w:ascii="Verdana" w:hAnsi="Verdana"/>
              <w:noProof/>
              <w:sz w:val="16"/>
              <w:szCs w:val="16"/>
              <w:lang w:val="sl-SI"/>
            </w:rPr>
            <w:t>10</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F97736">
            <w:rPr>
              <w:rFonts w:ascii="Verdana" w:hAnsi="Verdana"/>
              <w:noProof/>
              <w:sz w:val="16"/>
              <w:szCs w:val="16"/>
              <w:lang w:val="sl-SI"/>
            </w:rPr>
            <w:t>10</w:t>
          </w:r>
          <w:r w:rsidRPr="001774F3">
            <w:rPr>
              <w:rFonts w:ascii="Verdana" w:hAnsi="Verdana"/>
              <w:sz w:val="16"/>
              <w:szCs w:val="16"/>
              <w:lang w:val="sl-SI"/>
            </w:rPr>
            <w:fldChar w:fldCharType="end"/>
          </w:r>
        </w:p>
      </w:tc>
    </w:tr>
  </w:tbl>
  <w:p w14:paraId="7A9348B5" w14:textId="77777777" w:rsidR="00C108AE" w:rsidRDefault="00C10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F751" w14:textId="77777777" w:rsidR="007E646A" w:rsidRDefault="007E6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846B" w14:textId="77777777" w:rsidR="00C2289E" w:rsidRDefault="00C2289E" w:rsidP="00C108AE">
      <w:pPr>
        <w:spacing w:after="0" w:line="240" w:lineRule="auto"/>
      </w:pPr>
      <w:r>
        <w:separator/>
      </w:r>
    </w:p>
  </w:footnote>
  <w:footnote w:type="continuationSeparator" w:id="0">
    <w:p w14:paraId="6163F81E" w14:textId="77777777" w:rsidR="00C2289E" w:rsidRDefault="00C2289E"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93A4" w14:textId="77777777" w:rsidR="007E646A" w:rsidRDefault="007E6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80"/>
      <w:gridCol w:w="4859"/>
    </w:tblGrid>
    <w:tr w:rsidR="00C108AE" w:rsidRPr="001B422B" w14:paraId="3B095C86" w14:textId="77777777" w:rsidTr="00045132">
      <w:tc>
        <w:tcPr>
          <w:tcW w:w="6588" w:type="dxa"/>
          <w:shd w:val="clear" w:color="auto" w:fill="auto"/>
        </w:tcPr>
        <w:p w14:paraId="1B4CEEFA" w14:textId="77777777" w:rsidR="00C108AE" w:rsidRPr="001B422B" w:rsidRDefault="00867DDE" w:rsidP="00045132">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1789C19" w14:textId="0B6739E6" w:rsidR="00C108AE" w:rsidRPr="001B422B" w:rsidRDefault="00EE2FFA" w:rsidP="00045132">
          <w:pPr>
            <w:pStyle w:val="Header"/>
            <w:spacing w:after="0" w:line="240" w:lineRule="auto"/>
            <w:jc w:val="right"/>
            <w:rPr>
              <w:rFonts w:ascii="Verdana" w:hAnsi="Verdana"/>
              <w:sz w:val="16"/>
              <w:szCs w:val="16"/>
              <w:lang w:val="sl-SI"/>
            </w:rPr>
          </w:pPr>
          <w:r>
            <w:rPr>
              <w:rFonts w:ascii="Verdana" w:hAnsi="Verdana"/>
              <w:sz w:val="16"/>
              <w:szCs w:val="16"/>
              <w:lang w:val="sl-SI"/>
            </w:rPr>
            <w:t>Pogodba</w:t>
          </w:r>
        </w:p>
      </w:tc>
    </w:tr>
  </w:tbl>
  <w:p w14:paraId="712F5AD1" w14:textId="77777777" w:rsidR="00C108AE" w:rsidRDefault="00C10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C371D" w14:textId="77777777" w:rsidR="007E646A" w:rsidRDefault="007E6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B15277"/>
    <w:multiLevelType w:val="hybridMultilevel"/>
    <w:tmpl w:val="4D30A6D6"/>
    <w:lvl w:ilvl="0" w:tplc="3620D462">
      <w:numFmt w:val="bullet"/>
      <w:lvlText w:val="•"/>
      <w:lvlJc w:val="left"/>
      <w:pPr>
        <w:ind w:left="1080" w:hanging="72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4E6C2E"/>
    <w:multiLevelType w:val="hybridMultilevel"/>
    <w:tmpl w:val="DE10923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F60401"/>
    <w:multiLevelType w:val="hybridMultilevel"/>
    <w:tmpl w:val="FDAC50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3748B5"/>
    <w:multiLevelType w:val="hybridMultilevel"/>
    <w:tmpl w:val="D6F88A7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53018C"/>
    <w:multiLevelType w:val="hybridMultilevel"/>
    <w:tmpl w:val="54C698C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7EB46E3"/>
    <w:multiLevelType w:val="hybridMultilevel"/>
    <w:tmpl w:val="D6F88A7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2"/>
  </w:num>
  <w:num w:numId="5">
    <w:abstractNumId w:val="1"/>
  </w:num>
  <w:num w:numId="6">
    <w:abstractNumId w:val="3"/>
  </w:num>
  <w:num w:numId="7">
    <w:abstractNumId w:val="6"/>
  </w:num>
  <w:num w:numId="8">
    <w:abstractNumId w:val="7"/>
  </w:num>
  <w:num w:numId="9">
    <w:abstractNumId w:val="5"/>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06D4"/>
    <w:rsid w:val="0000297D"/>
    <w:rsid w:val="00007A5D"/>
    <w:rsid w:val="0001474F"/>
    <w:rsid w:val="000231A4"/>
    <w:rsid w:val="00025C2D"/>
    <w:rsid w:val="0004039C"/>
    <w:rsid w:val="00045132"/>
    <w:rsid w:val="000574A1"/>
    <w:rsid w:val="0005757B"/>
    <w:rsid w:val="00057C96"/>
    <w:rsid w:val="00062157"/>
    <w:rsid w:val="00062C81"/>
    <w:rsid w:val="00066D39"/>
    <w:rsid w:val="00071429"/>
    <w:rsid w:val="00075720"/>
    <w:rsid w:val="00076DE8"/>
    <w:rsid w:val="00080EDC"/>
    <w:rsid w:val="0008402D"/>
    <w:rsid w:val="00084EB9"/>
    <w:rsid w:val="0009002D"/>
    <w:rsid w:val="00092877"/>
    <w:rsid w:val="000B6E4A"/>
    <w:rsid w:val="000C3C39"/>
    <w:rsid w:val="000C6F7F"/>
    <w:rsid w:val="000C744E"/>
    <w:rsid w:val="000D5380"/>
    <w:rsid w:val="000D6301"/>
    <w:rsid w:val="000F372D"/>
    <w:rsid w:val="000F5F7D"/>
    <w:rsid w:val="00110547"/>
    <w:rsid w:val="001166E0"/>
    <w:rsid w:val="0012260C"/>
    <w:rsid w:val="0012584E"/>
    <w:rsid w:val="00126DCC"/>
    <w:rsid w:val="0013138A"/>
    <w:rsid w:val="001320EC"/>
    <w:rsid w:val="00141922"/>
    <w:rsid w:val="00153122"/>
    <w:rsid w:val="00157314"/>
    <w:rsid w:val="0017230D"/>
    <w:rsid w:val="00191AE2"/>
    <w:rsid w:val="00193A34"/>
    <w:rsid w:val="00195651"/>
    <w:rsid w:val="001A24A2"/>
    <w:rsid w:val="001E47A3"/>
    <w:rsid w:val="001E72B9"/>
    <w:rsid w:val="00204BD5"/>
    <w:rsid w:val="00205373"/>
    <w:rsid w:val="00210776"/>
    <w:rsid w:val="00215041"/>
    <w:rsid w:val="00235547"/>
    <w:rsid w:val="00235C8E"/>
    <w:rsid w:val="0024131D"/>
    <w:rsid w:val="00242087"/>
    <w:rsid w:val="00250ADC"/>
    <w:rsid w:val="002744A5"/>
    <w:rsid w:val="00287F66"/>
    <w:rsid w:val="002926BC"/>
    <w:rsid w:val="00294174"/>
    <w:rsid w:val="002A2E1E"/>
    <w:rsid w:val="002D2F78"/>
    <w:rsid w:val="002E133B"/>
    <w:rsid w:val="002E2E23"/>
    <w:rsid w:val="002F30A2"/>
    <w:rsid w:val="00302403"/>
    <w:rsid w:val="0031766F"/>
    <w:rsid w:val="00333BF4"/>
    <w:rsid w:val="0034442F"/>
    <w:rsid w:val="00351BC0"/>
    <w:rsid w:val="00372685"/>
    <w:rsid w:val="00383ACE"/>
    <w:rsid w:val="003943D4"/>
    <w:rsid w:val="003963C2"/>
    <w:rsid w:val="00397E5A"/>
    <w:rsid w:val="003B657F"/>
    <w:rsid w:val="003D61ED"/>
    <w:rsid w:val="003E5EF4"/>
    <w:rsid w:val="003E7AA4"/>
    <w:rsid w:val="003F3299"/>
    <w:rsid w:val="00400743"/>
    <w:rsid w:val="00413CE5"/>
    <w:rsid w:val="00417669"/>
    <w:rsid w:val="0042706B"/>
    <w:rsid w:val="00444103"/>
    <w:rsid w:val="004442B3"/>
    <w:rsid w:val="00452574"/>
    <w:rsid w:val="00452A26"/>
    <w:rsid w:val="00457A48"/>
    <w:rsid w:val="00462078"/>
    <w:rsid w:val="00475A4F"/>
    <w:rsid w:val="00483AEC"/>
    <w:rsid w:val="00491449"/>
    <w:rsid w:val="004A2FC2"/>
    <w:rsid w:val="004A439D"/>
    <w:rsid w:val="004A7F1E"/>
    <w:rsid w:val="004B16B3"/>
    <w:rsid w:val="004C2D10"/>
    <w:rsid w:val="004F185D"/>
    <w:rsid w:val="004F5F68"/>
    <w:rsid w:val="00501BD4"/>
    <w:rsid w:val="0051430D"/>
    <w:rsid w:val="00514ACD"/>
    <w:rsid w:val="00515702"/>
    <w:rsid w:val="00515F3E"/>
    <w:rsid w:val="00516853"/>
    <w:rsid w:val="00525743"/>
    <w:rsid w:val="005357D3"/>
    <w:rsid w:val="00542BE3"/>
    <w:rsid w:val="005475F8"/>
    <w:rsid w:val="00555B9B"/>
    <w:rsid w:val="00584906"/>
    <w:rsid w:val="005878AC"/>
    <w:rsid w:val="0059263B"/>
    <w:rsid w:val="005B13E2"/>
    <w:rsid w:val="005D6382"/>
    <w:rsid w:val="005E54F6"/>
    <w:rsid w:val="005F5C4A"/>
    <w:rsid w:val="005F66D0"/>
    <w:rsid w:val="00613923"/>
    <w:rsid w:val="00634672"/>
    <w:rsid w:val="00636BC6"/>
    <w:rsid w:val="0064460D"/>
    <w:rsid w:val="00674F87"/>
    <w:rsid w:val="0068039C"/>
    <w:rsid w:val="006833AB"/>
    <w:rsid w:val="00697E0C"/>
    <w:rsid w:val="006A6F81"/>
    <w:rsid w:val="006B217A"/>
    <w:rsid w:val="006B375A"/>
    <w:rsid w:val="006D3547"/>
    <w:rsid w:val="006D36CC"/>
    <w:rsid w:val="00710290"/>
    <w:rsid w:val="00716CAE"/>
    <w:rsid w:val="0074265E"/>
    <w:rsid w:val="00764BFD"/>
    <w:rsid w:val="0077014F"/>
    <w:rsid w:val="00770B7C"/>
    <w:rsid w:val="007859B1"/>
    <w:rsid w:val="007963F0"/>
    <w:rsid w:val="007C3E60"/>
    <w:rsid w:val="007D1B2A"/>
    <w:rsid w:val="007E646A"/>
    <w:rsid w:val="007F1E7A"/>
    <w:rsid w:val="0080272E"/>
    <w:rsid w:val="008119F8"/>
    <w:rsid w:val="0082070F"/>
    <w:rsid w:val="00827AC8"/>
    <w:rsid w:val="00831146"/>
    <w:rsid w:val="00831257"/>
    <w:rsid w:val="0084304A"/>
    <w:rsid w:val="008519A2"/>
    <w:rsid w:val="00861FB8"/>
    <w:rsid w:val="0086299F"/>
    <w:rsid w:val="00863AF4"/>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3598E"/>
    <w:rsid w:val="00951255"/>
    <w:rsid w:val="009535AB"/>
    <w:rsid w:val="00954AB0"/>
    <w:rsid w:val="00956B0F"/>
    <w:rsid w:val="00967047"/>
    <w:rsid w:val="00972B6B"/>
    <w:rsid w:val="00973E80"/>
    <w:rsid w:val="00974D5A"/>
    <w:rsid w:val="00983C66"/>
    <w:rsid w:val="00984FB2"/>
    <w:rsid w:val="00985EF2"/>
    <w:rsid w:val="009A1BB6"/>
    <w:rsid w:val="009B27DE"/>
    <w:rsid w:val="009B7C20"/>
    <w:rsid w:val="009D0D0E"/>
    <w:rsid w:val="009D1E46"/>
    <w:rsid w:val="009D2F55"/>
    <w:rsid w:val="009D5CA3"/>
    <w:rsid w:val="00A16466"/>
    <w:rsid w:val="00A3403A"/>
    <w:rsid w:val="00A40BB3"/>
    <w:rsid w:val="00A42989"/>
    <w:rsid w:val="00A504C1"/>
    <w:rsid w:val="00A578D4"/>
    <w:rsid w:val="00A600B9"/>
    <w:rsid w:val="00A7714A"/>
    <w:rsid w:val="00A80053"/>
    <w:rsid w:val="00A826E5"/>
    <w:rsid w:val="00AB595A"/>
    <w:rsid w:val="00AC0689"/>
    <w:rsid w:val="00AC29F4"/>
    <w:rsid w:val="00AD11D7"/>
    <w:rsid w:val="00AE3359"/>
    <w:rsid w:val="00AE45D5"/>
    <w:rsid w:val="00AE4FAB"/>
    <w:rsid w:val="00AE585D"/>
    <w:rsid w:val="00AF03F5"/>
    <w:rsid w:val="00B16DE6"/>
    <w:rsid w:val="00B31586"/>
    <w:rsid w:val="00B34C33"/>
    <w:rsid w:val="00B51360"/>
    <w:rsid w:val="00B54602"/>
    <w:rsid w:val="00B57C7C"/>
    <w:rsid w:val="00B63343"/>
    <w:rsid w:val="00B671BF"/>
    <w:rsid w:val="00B83186"/>
    <w:rsid w:val="00B8409F"/>
    <w:rsid w:val="00B85706"/>
    <w:rsid w:val="00B97E9A"/>
    <w:rsid w:val="00BB5172"/>
    <w:rsid w:val="00BB568C"/>
    <w:rsid w:val="00BC1B19"/>
    <w:rsid w:val="00BC35E8"/>
    <w:rsid w:val="00BD2AFE"/>
    <w:rsid w:val="00BD7D21"/>
    <w:rsid w:val="00C108AE"/>
    <w:rsid w:val="00C135E0"/>
    <w:rsid w:val="00C2289E"/>
    <w:rsid w:val="00C24CF3"/>
    <w:rsid w:val="00C40D64"/>
    <w:rsid w:val="00C63DD1"/>
    <w:rsid w:val="00C65A75"/>
    <w:rsid w:val="00C6666B"/>
    <w:rsid w:val="00C7043C"/>
    <w:rsid w:val="00C82E9C"/>
    <w:rsid w:val="00CB3A69"/>
    <w:rsid w:val="00CC0099"/>
    <w:rsid w:val="00CC20CA"/>
    <w:rsid w:val="00CD3E7B"/>
    <w:rsid w:val="00CD50CC"/>
    <w:rsid w:val="00CE1029"/>
    <w:rsid w:val="00CF2045"/>
    <w:rsid w:val="00D031D4"/>
    <w:rsid w:val="00D124D8"/>
    <w:rsid w:val="00D27F2A"/>
    <w:rsid w:val="00D57461"/>
    <w:rsid w:val="00D64A74"/>
    <w:rsid w:val="00D700F8"/>
    <w:rsid w:val="00D76207"/>
    <w:rsid w:val="00D77263"/>
    <w:rsid w:val="00D926B0"/>
    <w:rsid w:val="00DC0F08"/>
    <w:rsid w:val="00DD0319"/>
    <w:rsid w:val="00DD4A58"/>
    <w:rsid w:val="00DE1BF7"/>
    <w:rsid w:val="00DF0506"/>
    <w:rsid w:val="00DF3734"/>
    <w:rsid w:val="00DF4EEA"/>
    <w:rsid w:val="00E05F9C"/>
    <w:rsid w:val="00E061DD"/>
    <w:rsid w:val="00E07FFD"/>
    <w:rsid w:val="00E10B85"/>
    <w:rsid w:val="00E175D9"/>
    <w:rsid w:val="00E22745"/>
    <w:rsid w:val="00E30A07"/>
    <w:rsid w:val="00E37AD0"/>
    <w:rsid w:val="00E45BD9"/>
    <w:rsid w:val="00E50D31"/>
    <w:rsid w:val="00E7409B"/>
    <w:rsid w:val="00E83A6D"/>
    <w:rsid w:val="00E924A8"/>
    <w:rsid w:val="00E932AD"/>
    <w:rsid w:val="00EA02B5"/>
    <w:rsid w:val="00EA6645"/>
    <w:rsid w:val="00EB35C0"/>
    <w:rsid w:val="00EB6C5A"/>
    <w:rsid w:val="00ED4F09"/>
    <w:rsid w:val="00EE2FFA"/>
    <w:rsid w:val="00F063CD"/>
    <w:rsid w:val="00F1473B"/>
    <w:rsid w:val="00F209A5"/>
    <w:rsid w:val="00F2229C"/>
    <w:rsid w:val="00F250DA"/>
    <w:rsid w:val="00F346F4"/>
    <w:rsid w:val="00F44B66"/>
    <w:rsid w:val="00F47319"/>
    <w:rsid w:val="00F677B7"/>
    <w:rsid w:val="00F70EF0"/>
    <w:rsid w:val="00F7483F"/>
    <w:rsid w:val="00F770A1"/>
    <w:rsid w:val="00F85C40"/>
    <w:rsid w:val="00F91CB5"/>
    <w:rsid w:val="00F97736"/>
    <w:rsid w:val="00FA3B1A"/>
    <w:rsid w:val="00FA5018"/>
    <w:rsid w:val="00FA60DD"/>
    <w:rsid w:val="00FA6CB0"/>
    <w:rsid w:val="00FC15F4"/>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CEFA5"/>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984FB2"/>
    <w:pPr>
      <w:keepNext/>
      <w:widowControl w:val="0"/>
      <w:overflowPunct w:val="0"/>
      <w:autoSpaceDE w:val="0"/>
      <w:autoSpaceDN w:val="0"/>
      <w:adjustRightInd w:val="0"/>
      <w:spacing w:after="120" w:line="240" w:lineRule="auto"/>
      <w:textAlignment w:val="baseline"/>
      <w:outlineLvl w:val="0"/>
    </w:pPr>
    <w:rPr>
      <w:rFonts w:ascii="Verdana" w:eastAsia="Times New Roman" w:hAnsi="Verdana"/>
      <w:b/>
      <w:sz w:val="16"/>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8AE"/>
    <w:pPr>
      <w:tabs>
        <w:tab w:val="center" w:pos="4680"/>
        <w:tab w:val="right" w:pos="9360"/>
      </w:tabs>
    </w:pPr>
  </w:style>
  <w:style w:type="character" w:customStyle="1" w:styleId="HeaderChar">
    <w:name w:val="Header Char"/>
    <w:link w:val="Header"/>
    <w:uiPriority w:val="99"/>
    <w:rsid w:val="00C108AE"/>
    <w:rPr>
      <w:sz w:val="22"/>
      <w:szCs w:val="22"/>
    </w:rPr>
  </w:style>
  <w:style w:type="paragraph" w:styleId="Footer">
    <w:name w:val="footer"/>
    <w:basedOn w:val="Normal"/>
    <w:link w:val="FooterChar"/>
    <w:uiPriority w:val="99"/>
    <w:unhideWhenUsed/>
    <w:rsid w:val="00C108AE"/>
    <w:pPr>
      <w:tabs>
        <w:tab w:val="center" w:pos="4680"/>
        <w:tab w:val="right" w:pos="9360"/>
      </w:tabs>
    </w:pPr>
  </w:style>
  <w:style w:type="character" w:customStyle="1" w:styleId="FooterChar">
    <w:name w:val="Footer Char"/>
    <w:link w:val="Footer"/>
    <w:uiPriority w:val="99"/>
    <w:rsid w:val="00C108AE"/>
    <w:rPr>
      <w:sz w:val="22"/>
      <w:szCs w:val="22"/>
    </w:rPr>
  </w:style>
  <w:style w:type="paragraph" w:styleId="ListParagraph">
    <w:name w:val="List Paragraph"/>
    <w:basedOn w:val="Normal"/>
    <w:link w:val="ListParagraphChar"/>
    <w:uiPriority w:val="34"/>
    <w:qFormat/>
    <w:rsid w:val="00900773"/>
    <w:pPr>
      <w:ind w:left="720"/>
      <w:contextualSpacing/>
    </w:pPr>
  </w:style>
  <w:style w:type="character" w:styleId="CommentReference">
    <w:name w:val="annotation reference"/>
    <w:basedOn w:val="DefaultParagraphFont"/>
    <w:uiPriority w:val="99"/>
    <w:semiHidden/>
    <w:unhideWhenUsed/>
    <w:rsid w:val="003E7AA4"/>
    <w:rPr>
      <w:sz w:val="16"/>
      <w:szCs w:val="16"/>
    </w:rPr>
  </w:style>
  <w:style w:type="paragraph" w:styleId="CommentText">
    <w:name w:val="annotation text"/>
    <w:basedOn w:val="Normal"/>
    <w:link w:val="CommentTextChar"/>
    <w:uiPriority w:val="99"/>
    <w:semiHidden/>
    <w:unhideWhenUsed/>
    <w:rsid w:val="003E7AA4"/>
    <w:pPr>
      <w:spacing w:line="240" w:lineRule="auto"/>
    </w:pPr>
    <w:rPr>
      <w:sz w:val="20"/>
      <w:szCs w:val="20"/>
    </w:rPr>
  </w:style>
  <w:style w:type="character" w:customStyle="1" w:styleId="CommentTextChar">
    <w:name w:val="Comment Text Char"/>
    <w:basedOn w:val="DefaultParagraphFont"/>
    <w:link w:val="CommentText"/>
    <w:uiPriority w:val="99"/>
    <w:semiHidden/>
    <w:rsid w:val="003E7AA4"/>
    <w:rPr>
      <w:lang w:val="en-US" w:eastAsia="en-US"/>
    </w:rPr>
  </w:style>
  <w:style w:type="paragraph" w:styleId="CommentSubject">
    <w:name w:val="annotation subject"/>
    <w:basedOn w:val="CommentText"/>
    <w:next w:val="CommentText"/>
    <w:link w:val="CommentSubjectChar"/>
    <w:uiPriority w:val="99"/>
    <w:semiHidden/>
    <w:unhideWhenUsed/>
    <w:rsid w:val="003E7AA4"/>
    <w:rPr>
      <w:b/>
      <w:bCs/>
    </w:rPr>
  </w:style>
  <w:style w:type="character" w:customStyle="1" w:styleId="CommentSubjectChar">
    <w:name w:val="Comment Subject Char"/>
    <w:basedOn w:val="CommentTextChar"/>
    <w:link w:val="CommentSubject"/>
    <w:uiPriority w:val="99"/>
    <w:semiHidden/>
    <w:rsid w:val="003E7AA4"/>
    <w:rPr>
      <w:b/>
      <w:bCs/>
      <w:lang w:val="en-US" w:eastAsia="en-US"/>
    </w:rPr>
  </w:style>
  <w:style w:type="character" w:customStyle="1" w:styleId="ListParagraphChar">
    <w:name w:val="List Paragraph Char"/>
    <w:basedOn w:val="DefaultParagraphFont"/>
    <w:link w:val="ListParagraph"/>
    <w:uiPriority w:val="34"/>
    <w:rsid w:val="003E7AA4"/>
    <w:rPr>
      <w:sz w:val="22"/>
      <w:szCs w:val="22"/>
      <w:lang w:val="en-US" w:eastAsia="en-US"/>
    </w:rPr>
  </w:style>
  <w:style w:type="character" w:customStyle="1" w:styleId="Heading1Char">
    <w:name w:val="Heading 1 Char"/>
    <w:basedOn w:val="DefaultParagraphFont"/>
    <w:link w:val="Heading1"/>
    <w:rsid w:val="00984FB2"/>
    <w:rPr>
      <w:rFonts w:ascii="Verdana" w:eastAsia="Times New Roman" w:hAnsi="Verdana"/>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D815-B903-4E63-935E-59C2FB75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Uroš Škufca</cp:lastModifiedBy>
  <cp:revision>158</cp:revision>
  <dcterms:created xsi:type="dcterms:W3CDTF">2016-04-12T08:51:00Z</dcterms:created>
  <dcterms:modified xsi:type="dcterms:W3CDTF">2021-11-11T20:19:00Z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1034">
    <vt:lpwstr>Aleš Bržan</vt:lpwstr>
  </property>
</Properties>
</file>