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E5FEF" w14:textId="1DAC183E" w:rsidR="00981753" w:rsidRPr="00181519" w:rsidRDefault="00981753" w:rsidP="00981753">
      <w:pPr>
        <w:pStyle w:val="Header"/>
        <w:ind w:right="5768"/>
        <w:rPr>
          <w:noProof/>
          <w:lang w:val="sl-SI" w:eastAsia="sl-SI"/>
        </w:rPr>
      </w:pPr>
    </w:p>
    <w:p w14:paraId="6E2AB4A6" w14:textId="776131FF" w:rsidR="00981753" w:rsidRPr="00181519" w:rsidRDefault="00981753" w:rsidP="00981753">
      <w:pPr>
        <w:pStyle w:val="Header"/>
        <w:ind w:right="5768"/>
        <w:rPr>
          <w:noProof/>
          <w:lang w:val="sl-SI" w:eastAsia="sl-SI"/>
        </w:rPr>
      </w:pPr>
    </w:p>
    <w:p w14:paraId="0CACA93F" w14:textId="77777777" w:rsidR="0016082F" w:rsidRPr="00181519" w:rsidRDefault="0016082F" w:rsidP="00DF79F2">
      <w:pPr>
        <w:tabs>
          <w:tab w:val="left" w:pos="2835"/>
        </w:tabs>
        <w:ind w:left="1980" w:hanging="1980"/>
        <w:jc w:val="both"/>
        <w:rPr>
          <w:lang w:val="sl-SI"/>
        </w:rPr>
      </w:pPr>
    </w:p>
    <w:p w14:paraId="2CB89714" w14:textId="77777777" w:rsidR="006F0DF3" w:rsidRPr="00181519" w:rsidRDefault="006F0DF3" w:rsidP="006F0DF3">
      <w:pPr>
        <w:pStyle w:val="Header"/>
        <w:tabs>
          <w:tab w:val="clear" w:pos="4320"/>
          <w:tab w:val="clear" w:pos="8640"/>
        </w:tabs>
        <w:ind w:right="5768"/>
        <w:rPr>
          <w:noProof/>
          <w:lang w:val="sl-SI" w:eastAsia="sl-SI"/>
        </w:rPr>
      </w:pPr>
      <w:r w:rsidRPr="00181519"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4D64E325" wp14:editId="4A3534F2">
            <wp:simplePos x="723569" y="1311965"/>
            <wp:positionH relativeFrom="margin">
              <wp:align>center</wp:align>
            </wp:positionH>
            <wp:positionV relativeFrom="margin">
              <wp:align>top</wp:align>
            </wp:positionV>
            <wp:extent cx="2368578" cy="141363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78" cy="141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8695B" w14:textId="77777777" w:rsidR="00C0694E" w:rsidRPr="00181519" w:rsidRDefault="00C0694E" w:rsidP="00DF79F2">
      <w:pPr>
        <w:tabs>
          <w:tab w:val="left" w:pos="2835"/>
        </w:tabs>
        <w:ind w:left="1980" w:hanging="1980"/>
        <w:jc w:val="both"/>
        <w:rPr>
          <w:b/>
          <w:lang w:val="sl-SI"/>
        </w:rPr>
      </w:pPr>
    </w:p>
    <w:p w14:paraId="78AEB168" w14:textId="77777777" w:rsidR="00C0694E" w:rsidRPr="00181519" w:rsidRDefault="00C0694E" w:rsidP="00DF79F2">
      <w:pPr>
        <w:tabs>
          <w:tab w:val="left" w:pos="2835"/>
        </w:tabs>
        <w:ind w:left="1980" w:hanging="1980"/>
        <w:jc w:val="both"/>
        <w:rPr>
          <w:b/>
          <w:lang w:val="sl-SI"/>
        </w:rPr>
      </w:pPr>
    </w:p>
    <w:p w14:paraId="1F39869D" w14:textId="77777777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4F56ABBE" w14:textId="77777777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783D763B" w14:textId="77777777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7EEE6788" w14:textId="77777777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6F20ABA0" w14:textId="0BE44570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4F487DE1" w14:textId="09A91C02" w:rsidR="006F0DF3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37A42DA0" w14:textId="0FBE085F" w:rsidR="00100390" w:rsidRDefault="00100390" w:rsidP="00DF79F2">
      <w:pPr>
        <w:tabs>
          <w:tab w:val="left" w:pos="2835"/>
        </w:tabs>
        <w:jc w:val="center"/>
        <w:rPr>
          <w:b/>
          <w:lang w:val="sl-SI"/>
        </w:rPr>
      </w:pPr>
    </w:p>
    <w:p w14:paraId="0853DC43" w14:textId="1435AF37" w:rsidR="00100390" w:rsidRDefault="00100390" w:rsidP="00DF79F2">
      <w:pPr>
        <w:tabs>
          <w:tab w:val="left" w:pos="2835"/>
        </w:tabs>
        <w:jc w:val="center"/>
        <w:rPr>
          <w:b/>
          <w:lang w:val="sl-SI"/>
        </w:rPr>
      </w:pPr>
    </w:p>
    <w:p w14:paraId="6A8F7F49" w14:textId="77777777" w:rsidR="00100390" w:rsidRPr="00181519" w:rsidRDefault="00100390" w:rsidP="00DF79F2">
      <w:pPr>
        <w:tabs>
          <w:tab w:val="left" w:pos="2835"/>
        </w:tabs>
        <w:jc w:val="center"/>
        <w:rPr>
          <w:b/>
          <w:lang w:val="sl-SI"/>
        </w:rPr>
      </w:pPr>
    </w:p>
    <w:p w14:paraId="6A3D0327" w14:textId="41AEE40E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6D6FD4B6" w14:textId="76402BF8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16E3D1FE" w14:textId="77777777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7AF75948" w14:textId="77777777" w:rsidR="006F0DF3" w:rsidRPr="00181519" w:rsidRDefault="006F0DF3" w:rsidP="00DF79F2">
      <w:pPr>
        <w:tabs>
          <w:tab w:val="left" w:pos="2835"/>
        </w:tabs>
        <w:jc w:val="center"/>
        <w:rPr>
          <w:b/>
          <w:lang w:val="sl-SI"/>
        </w:rPr>
      </w:pPr>
    </w:p>
    <w:p w14:paraId="106335D8" w14:textId="63317235" w:rsidR="00C0694E" w:rsidRPr="00100390" w:rsidRDefault="00C0694E" w:rsidP="00DF79F2">
      <w:pPr>
        <w:tabs>
          <w:tab w:val="left" w:pos="2835"/>
        </w:tabs>
        <w:jc w:val="center"/>
        <w:rPr>
          <w:b/>
          <w:sz w:val="22"/>
          <w:szCs w:val="22"/>
          <w:lang w:val="sl-SI"/>
        </w:rPr>
      </w:pPr>
      <w:r w:rsidRPr="00100390">
        <w:rPr>
          <w:b/>
          <w:sz w:val="22"/>
          <w:szCs w:val="22"/>
          <w:lang w:val="sl-SI"/>
        </w:rPr>
        <w:t>DOKUMENTACIJA</w:t>
      </w:r>
    </w:p>
    <w:p w14:paraId="60D8CB9B" w14:textId="4D5D5815" w:rsidR="00C0694E" w:rsidRPr="00100390" w:rsidRDefault="00C0694E" w:rsidP="00DF79F2">
      <w:pPr>
        <w:tabs>
          <w:tab w:val="left" w:pos="2835"/>
        </w:tabs>
        <w:jc w:val="center"/>
        <w:rPr>
          <w:b/>
          <w:sz w:val="22"/>
          <w:szCs w:val="22"/>
          <w:lang w:val="sl-SI"/>
        </w:rPr>
      </w:pPr>
      <w:r w:rsidRPr="00100390">
        <w:rPr>
          <w:b/>
          <w:sz w:val="22"/>
          <w:szCs w:val="22"/>
          <w:lang w:val="sl-SI"/>
        </w:rPr>
        <w:t>JAVNEGA NATEČAJA ZA IZBOR ŽUPANOVEGA VINA</w:t>
      </w:r>
    </w:p>
    <w:p w14:paraId="7807D7A4" w14:textId="4138D77B" w:rsidR="00C0694E" w:rsidRPr="00100390" w:rsidRDefault="00C0694E" w:rsidP="00DF79F2">
      <w:pPr>
        <w:tabs>
          <w:tab w:val="left" w:pos="2835"/>
        </w:tabs>
        <w:jc w:val="center"/>
        <w:rPr>
          <w:b/>
          <w:sz w:val="22"/>
          <w:szCs w:val="22"/>
          <w:lang w:val="sl-SI"/>
        </w:rPr>
      </w:pPr>
      <w:r w:rsidRPr="00100390">
        <w:rPr>
          <w:b/>
          <w:sz w:val="22"/>
          <w:szCs w:val="22"/>
          <w:lang w:val="sl-SI"/>
        </w:rPr>
        <w:t xml:space="preserve">MESTNE OBČINE KOPER </w:t>
      </w:r>
      <w:proofErr w:type="gramStart"/>
      <w:r w:rsidRPr="00100390">
        <w:rPr>
          <w:b/>
          <w:sz w:val="22"/>
          <w:szCs w:val="22"/>
          <w:lang w:val="sl-SI"/>
        </w:rPr>
        <w:t>ZA</w:t>
      </w:r>
      <w:proofErr w:type="gramEnd"/>
      <w:r w:rsidRPr="00100390">
        <w:rPr>
          <w:b/>
          <w:sz w:val="22"/>
          <w:szCs w:val="22"/>
          <w:lang w:val="sl-SI"/>
        </w:rPr>
        <w:t xml:space="preserve"> LETO 202</w:t>
      </w:r>
      <w:r w:rsidR="006010DE" w:rsidRPr="00100390">
        <w:rPr>
          <w:b/>
          <w:sz w:val="22"/>
          <w:szCs w:val="22"/>
          <w:lang w:val="sl-SI"/>
        </w:rPr>
        <w:t>2</w:t>
      </w:r>
    </w:p>
    <w:p w14:paraId="5FE8A2B7" w14:textId="77777777" w:rsidR="00C0694E" w:rsidRPr="00100390" w:rsidRDefault="00C0694E" w:rsidP="00DF79F2">
      <w:pPr>
        <w:jc w:val="both"/>
        <w:rPr>
          <w:b/>
          <w:sz w:val="22"/>
          <w:szCs w:val="22"/>
          <w:lang w:val="sl-SI"/>
        </w:rPr>
      </w:pPr>
    </w:p>
    <w:p w14:paraId="7AB7354C" w14:textId="77777777" w:rsidR="00C0694E" w:rsidRPr="00181519" w:rsidRDefault="00C0694E" w:rsidP="00DF79F2">
      <w:pPr>
        <w:jc w:val="both"/>
        <w:rPr>
          <w:lang w:val="sl-SI"/>
        </w:rPr>
      </w:pPr>
    </w:p>
    <w:p w14:paraId="6184973F" w14:textId="77777777" w:rsidR="00C0694E" w:rsidRPr="00181519" w:rsidRDefault="00C0694E" w:rsidP="00DF79F2">
      <w:pPr>
        <w:jc w:val="both"/>
        <w:rPr>
          <w:lang w:val="sl-SI"/>
        </w:rPr>
      </w:pPr>
    </w:p>
    <w:p w14:paraId="36AB48CB" w14:textId="77777777" w:rsidR="00C0694E" w:rsidRPr="00181519" w:rsidRDefault="00C0694E" w:rsidP="00DF79F2">
      <w:pPr>
        <w:jc w:val="both"/>
        <w:rPr>
          <w:lang w:val="sl-SI"/>
        </w:rPr>
      </w:pPr>
    </w:p>
    <w:p w14:paraId="641465B7" w14:textId="77777777" w:rsidR="00C0694E" w:rsidRPr="00181519" w:rsidRDefault="00C0694E" w:rsidP="00DF79F2">
      <w:pPr>
        <w:jc w:val="both"/>
        <w:rPr>
          <w:lang w:val="sl-SI"/>
        </w:rPr>
      </w:pPr>
    </w:p>
    <w:p w14:paraId="7D8F12BD" w14:textId="7E290CEC" w:rsidR="00C0694E" w:rsidRPr="00181519" w:rsidRDefault="00C0694E" w:rsidP="00DF79F2">
      <w:pPr>
        <w:jc w:val="both"/>
        <w:rPr>
          <w:lang w:val="sl-SI"/>
        </w:rPr>
      </w:pPr>
    </w:p>
    <w:p w14:paraId="07E1BDFD" w14:textId="7A4236F3" w:rsidR="006F0DF3" w:rsidRPr="00181519" w:rsidRDefault="006F0DF3" w:rsidP="00DF79F2">
      <w:pPr>
        <w:jc w:val="both"/>
        <w:rPr>
          <w:lang w:val="sl-SI"/>
        </w:rPr>
      </w:pPr>
    </w:p>
    <w:p w14:paraId="5942F047" w14:textId="7808B220" w:rsidR="006F0DF3" w:rsidRPr="00181519" w:rsidRDefault="006F0DF3" w:rsidP="00DF79F2">
      <w:pPr>
        <w:jc w:val="both"/>
        <w:rPr>
          <w:lang w:val="sl-SI"/>
        </w:rPr>
      </w:pPr>
    </w:p>
    <w:p w14:paraId="00A669C5" w14:textId="0B344CAA" w:rsidR="006F0DF3" w:rsidRPr="00181519" w:rsidRDefault="006F0DF3" w:rsidP="00DF79F2">
      <w:pPr>
        <w:jc w:val="both"/>
        <w:rPr>
          <w:lang w:val="sl-SI"/>
        </w:rPr>
      </w:pPr>
    </w:p>
    <w:p w14:paraId="706DBBAC" w14:textId="3CC59761" w:rsidR="006F0DF3" w:rsidRPr="00181519" w:rsidRDefault="006F0DF3" w:rsidP="00DF79F2">
      <w:pPr>
        <w:jc w:val="both"/>
        <w:rPr>
          <w:lang w:val="sl-SI"/>
        </w:rPr>
      </w:pPr>
    </w:p>
    <w:p w14:paraId="034D370A" w14:textId="44BADF2C" w:rsidR="006F0DF3" w:rsidRPr="00181519" w:rsidRDefault="006F0DF3" w:rsidP="00DF79F2">
      <w:pPr>
        <w:jc w:val="both"/>
        <w:rPr>
          <w:lang w:val="sl-SI"/>
        </w:rPr>
      </w:pPr>
    </w:p>
    <w:p w14:paraId="50106DDB" w14:textId="3FA6C20C" w:rsidR="006F0DF3" w:rsidRPr="00181519" w:rsidRDefault="006F0DF3" w:rsidP="00DF79F2">
      <w:pPr>
        <w:jc w:val="both"/>
        <w:rPr>
          <w:lang w:val="sl-SI"/>
        </w:rPr>
      </w:pPr>
    </w:p>
    <w:p w14:paraId="7B6F127C" w14:textId="6F251C40" w:rsidR="006F0DF3" w:rsidRPr="00181519" w:rsidRDefault="006F0DF3" w:rsidP="00DF79F2">
      <w:pPr>
        <w:jc w:val="both"/>
        <w:rPr>
          <w:lang w:val="sl-SI"/>
        </w:rPr>
      </w:pPr>
    </w:p>
    <w:p w14:paraId="7DB9B12B" w14:textId="57CEAA71" w:rsidR="006F0DF3" w:rsidRPr="00181519" w:rsidRDefault="006F0DF3" w:rsidP="00DF79F2">
      <w:pPr>
        <w:jc w:val="both"/>
        <w:rPr>
          <w:lang w:val="sl-SI"/>
        </w:rPr>
      </w:pPr>
    </w:p>
    <w:p w14:paraId="2E6D9994" w14:textId="3DA98527" w:rsidR="006F0DF3" w:rsidRPr="00181519" w:rsidRDefault="006F0DF3" w:rsidP="00DF79F2">
      <w:pPr>
        <w:jc w:val="both"/>
        <w:rPr>
          <w:lang w:val="sl-SI"/>
        </w:rPr>
      </w:pPr>
    </w:p>
    <w:p w14:paraId="2B660076" w14:textId="032C79CD" w:rsidR="006F0DF3" w:rsidRPr="00181519" w:rsidRDefault="006F0DF3" w:rsidP="00DF79F2">
      <w:pPr>
        <w:jc w:val="both"/>
        <w:rPr>
          <w:lang w:val="sl-SI"/>
        </w:rPr>
      </w:pPr>
    </w:p>
    <w:p w14:paraId="5C495329" w14:textId="040833C0" w:rsidR="006F0DF3" w:rsidRPr="00181519" w:rsidRDefault="006F0DF3" w:rsidP="00DF79F2">
      <w:pPr>
        <w:jc w:val="both"/>
        <w:rPr>
          <w:lang w:val="sl-SI"/>
        </w:rPr>
      </w:pPr>
    </w:p>
    <w:p w14:paraId="49B60DCA" w14:textId="683BCB55" w:rsidR="006F0DF3" w:rsidRPr="00181519" w:rsidRDefault="006F0DF3" w:rsidP="00DF79F2">
      <w:pPr>
        <w:jc w:val="both"/>
        <w:rPr>
          <w:lang w:val="sl-SI"/>
        </w:rPr>
      </w:pPr>
    </w:p>
    <w:p w14:paraId="58F46A9F" w14:textId="33AB416F" w:rsidR="006F0DF3" w:rsidRPr="00181519" w:rsidRDefault="006F0DF3" w:rsidP="00DF79F2">
      <w:pPr>
        <w:jc w:val="both"/>
        <w:rPr>
          <w:lang w:val="sl-SI"/>
        </w:rPr>
      </w:pPr>
    </w:p>
    <w:p w14:paraId="4BFA19D6" w14:textId="54BE10C4" w:rsidR="006F0DF3" w:rsidRPr="00181519" w:rsidRDefault="006F0DF3" w:rsidP="00DF79F2">
      <w:pPr>
        <w:jc w:val="both"/>
        <w:rPr>
          <w:lang w:val="sl-SI"/>
        </w:rPr>
      </w:pPr>
    </w:p>
    <w:p w14:paraId="1A9609DE" w14:textId="09055B40" w:rsidR="006F0DF3" w:rsidRPr="00181519" w:rsidRDefault="006F0DF3" w:rsidP="00DF79F2">
      <w:pPr>
        <w:jc w:val="both"/>
        <w:rPr>
          <w:lang w:val="sl-SI"/>
        </w:rPr>
      </w:pPr>
    </w:p>
    <w:p w14:paraId="77C311E2" w14:textId="119209BC" w:rsidR="006F0DF3" w:rsidRPr="00181519" w:rsidRDefault="006F0DF3" w:rsidP="00DF79F2">
      <w:pPr>
        <w:jc w:val="both"/>
        <w:rPr>
          <w:lang w:val="sl-SI"/>
        </w:rPr>
      </w:pPr>
    </w:p>
    <w:p w14:paraId="2A8C23E0" w14:textId="5D491327" w:rsidR="006F0DF3" w:rsidRPr="00181519" w:rsidRDefault="006F0DF3" w:rsidP="00DF79F2">
      <w:pPr>
        <w:jc w:val="both"/>
        <w:rPr>
          <w:lang w:val="sl-SI"/>
        </w:rPr>
      </w:pPr>
    </w:p>
    <w:p w14:paraId="5770A3A5" w14:textId="1742E109" w:rsidR="006F0DF3" w:rsidRPr="00181519" w:rsidRDefault="006F0DF3" w:rsidP="00DF79F2">
      <w:pPr>
        <w:jc w:val="both"/>
        <w:rPr>
          <w:lang w:val="sl-SI"/>
        </w:rPr>
      </w:pPr>
    </w:p>
    <w:p w14:paraId="7BBFE5EA" w14:textId="77777777" w:rsidR="006F0DF3" w:rsidRPr="00181519" w:rsidRDefault="006F0DF3" w:rsidP="00DF79F2">
      <w:pPr>
        <w:jc w:val="both"/>
        <w:rPr>
          <w:lang w:val="sl-SI"/>
        </w:rPr>
      </w:pPr>
    </w:p>
    <w:p w14:paraId="74CEE720" w14:textId="77777777" w:rsidR="00C0694E" w:rsidRPr="00181519" w:rsidRDefault="00C0694E" w:rsidP="00DF79F2">
      <w:pPr>
        <w:jc w:val="both"/>
        <w:rPr>
          <w:lang w:val="sl-SI"/>
        </w:rPr>
      </w:pPr>
    </w:p>
    <w:p w14:paraId="4085AA3D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VSEBINA:</w:t>
      </w:r>
    </w:p>
    <w:p w14:paraId="62E0CA7D" w14:textId="77777777" w:rsidR="00C0694E" w:rsidRPr="00181519" w:rsidRDefault="00C0694E" w:rsidP="00DF79F2">
      <w:pPr>
        <w:jc w:val="both"/>
        <w:rPr>
          <w:lang w:val="sl-SI"/>
        </w:rPr>
      </w:pPr>
    </w:p>
    <w:p w14:paraId="64C4FF90" w14:textId="77777777" w:rsidR="00C0694E" w:rsidRPr="00181519" w:rsidRDefault="00C0694E" w:rsidP="00DF79F2">
      <w:pPr>
        <w:jc w:val="both"/>
        <w:rPr>
          <w:lang w:val="sl-SI"/>
        </w:rPr>
      </w:pPr>
    </w:p>
    <w:p w14:paraId="748D3590" w14:textId="77777777" w:rsidR="00C0694E" w:rsidRPr="00181519" w:rsidRDefault="00C0694E" w:rsidP="00DF79F2">
      <w:pPr>
        <w:pStyle w:val="Heading1"/>
        <w:numPr>
          <w:ilvl w:val="0"/>
          <w:numId w:val="22"/>
        </w:numPr>
        <w:suppressAutoHyphens/>
        <w:spacing w:before="0" w:after="0"/>
        <w:ind w:hanging="398"/>
        <w:jc w:val="both"/>
        <w:rPr>
          <w:rFonts w:ascii="Cambria" w:hAnsi="Cambria"/>
          <w:b w:val="0"/>
          <w:sz w:val="20"/>
          <w:lang w:val="sl-SI"/>
        </w:rPr>
      </w:pPr>
      <w:r w:rsidRPr="00181519">
        <w:rPr>
          <w:rFonts w:ascii="Cambria" w:hAnsi="Cambria"/>
          <w:b w:val="0"/>
          <w:sz w:val="20"/>
          <w:lang w:val="sl-SI"/>
        </w:rPr>
        <w:t>Besedilo javnega natečaja</w:t>
      </w:r>
    </w:p>
    <w:p w14:paraId="684CD7FC" w14:textId="77777777" w:rsidR="00C0694E" w:rsidRPr="00181519" w:rsidRDefault="00C0694E" w:rsidP="00DF79F2">
      <w:pPr>
        <w:pStyle w:val="Heading1"/>
        <w:numPr>
          <w:ilvl w:val="0"/>
          <w:numId w:val="22"/>
        </w:numPr>
        <w:suppressAutoHyphens/>
        <w:spacing w:before="0" w:after="0"/>
        <w:ind w:hanging="398"/>
        <w:jc w:val="both"/>
        <w:rPr>
          <w:rFonts w:ascii="Cambria" w:hAnsi="Cambria"/>
          <w:b w:val="0"/>
          <w:sz w:val="20"/>
          <w:lang w:val="sl-SI"/>
        </w:rPr>
      </w:pPr>
      <w:r w:rsidRPr="00181519">
        <w:rPr>
          <w:rFonts w:ascii="Cambria" w:hAnsi="Cambria"/>
          <w:b w:val="0"/>
          <w:sz w:val="20"/>
          <w:lang w:val="sl-SI"/>
        </w:rPr>
        <w:t xml:space="preserve">Prijavni obrazec </w:t>
      </w:r>
    </w:p>
    <w:p w14:paraId="6706D65B" w14:textId="77777777" w:rsidR="00C0694E" w:rsidRPr="00181519" w:rsidRDefault="00C0694E" w:rsidP="00DF79F2">
      <w:pPr>
        <w:jc w:val="both"/>
        <w:rPr>
          <w:lang w:val="sl-SI"/>
        </w:rPr>
      </w:pPr>
    </w:p>
    <w:p w14:paraId="0C5A4BE9" w14:textId="77777777" w:rsidR="00C0694E" w:rsidRPr="00181519" w:rsidRDefault="00C0694E" w:rsidP="00DF79F2">
      <w:pPr>
        <w:jc w:val="both"/>
        <w:rPr>
          <w:lang w:val="sl-SI"/>
        </w:rPr>
      </w:pPr>
    </w:p>
    <w:p w14:paraId="7F1EDDDE" w14:textId="77777777" w:rsidR="00C0694E" w:rsidRPr="00181519" w:rsidRDefault="00C0694E" w:rsidP="00DF79F2">
      <w:pPr>
        <w:pStyle w:val="Heading4"/>
        <w:jc w:val="both"/>
      </w:pPr>
    </w:p>
    <w:p w14:paraId="5E327EA4" w14:textId="77777777" w:rsidR="00C0694E" w:rsidRPr="00181519" w:rsidRDefault="00C0694E" w:rsidP="00DF79F2">
      <w:pPr>
        <w:pStyle w:val="Heading4"/>
        <w:jc w:val="both"/>
      </w:pPr>
    </w:p>
    <w:p w14:paraId="5231301F" w14:textId="4A9217C4" w:rsidR="00C0694E" w:rsidRPr="00181519" w:rsidRDefault="00C0694E" w:rsidP="00DF79F2">
      <w:pPr>
        <w:pStyle w:val="Heading4"/>
        <w:jc w:val="both"/>
      </w:pPr>
      <w:r w:rsidRPr="00181519">
        <w:t xml:space="preserve">Številka: </w:t>
      </w:r>
      <w:r w:rsidR="00100390">
        <w:t>322-163/2021</w:t>
      </w:r>
    </w:p>
    <w:p w14:paraId="440FE73C" w14:textId="3E592A84" w:rsidR="00C0694E" w:rsidRPr="00181519" w:rsidRDefault="00C0694E" w:rsidP="00DF79F2">
      <w:pPr>
        <w:pStyle w:val="Heading2"/>
        <w:jc w:val="both"/>
        <w:rPr>
          <w:sz w:val="20"/>
          <w:lang w:val="sl-SI"/>
        </w:rPr>
      </w:pPr>
      <w:r w:rsidRPr="00181519">
        <w:rPr>
          <w:sz w:val="20"/>
          <w:lang w:val="sl-SI"/>
        </w:rPr>
        <w:t xml:space="preserve">Datum: </w:t>
      </w:r>
    </w:p>
    <w:p w14:paraId="3126B7B3" w14:textId="77777777" w:rsidR="00C0694E" w:rsidRPr="00181519" w:rsidRDefault="00C0694E" w:rsidP="00DF79F2">
      <w:pPr>
        <w:jc w:val="both"/>
        <w:rPr>
          <w:b/>
          <w:lang w:val="sl-SI"/>
        </w:rPr>
      </w:pPr>
    </w:p>
    <w:p w14:paraId="0D6A51D2" w14:textId="4584B9FE" w:rsidR="00C0694E" w:rsidRPr="00181519" w:rsidRDefault="006F0DF3" w:rsidP="00DF79F2">
      <w:pPr>
        <w:pageBreakBefore/>
        <w:tabs>
          <w:tab w:val="left" w:pos="2835"/>
        </w:tabs>
        <w:jc w:val="both"/>
        <w:rPr>
          <w:b/>
          <w:bCs/>
          <w:lang w:val="sl-SI"/>
        </w:rPr>
      </w:pPr>
      <w:r w:rsidRPr="00181519">
        <w:rPr>
          <w:b/>
          <w:bCs/>
          <w:lang w:val="sl-SI"/>
        </w:rPr>
        <w:lastRenderedPageBreak/>
        <w:t>I.</w:t>
      </w:r>
      <w:r w:rsidR="00C0694E" w:rsidRPr="00181519">
        <w:rPr>
          <w:b/>
          <w:bCs/>
          <w:lang w:val="sl-SI"/>
        </w:rPr>
        <w:t xml:space="preserve"> BESEDILO JAVNEGA NATEČAJA</w:t>
      </w:r>
    </w:p>
    <w:p w14:paraId="42D1A32E" w14:textId="77777777" w:rsidR="00C0694E" w:rsidRPr="00181519" w:rsidRDefault="00C0694E" w:rsidP="00DF79F2">
      <w:pPr>
        <w:jc w:val="both"/>
        <w:rPr>
          <w:b/>
          <w:lang w:val="sl-SI"/>
        </w:rPr>
      </w:pPr>
    </w:p>
    <w:p w14:paraId="7F6DF6E5" w14:textId="77777777" w:rsidR="00C0694E" w:rsidRPr="00181519" w:rsidRDefault="00C0694E" w:rsidP="00DF79F2">
      <w:pPr>
        <w:jc w:val="both"/>
        <w:rPr>
          <w:b/>
          <w:lang w:val="sl-SI"/>
        </w:rPr>
      </w:pPr>
    </w:p>
    <w:p w14:paraId="38A5B191" w14:textId="3DB94B8C" w:rsidR="00C0694E" w:rsidRPr="00181519" w:rsidRDefault="00C0694E" w:rsidP="00DF79F2">
      <w:pPr>
        <w:jc w:val="both"/>
        <w:rPr>
          <w:b/>
          <w:lang w:val="sl-SI"/>
        </w:rPr>
      </w:pPr>
      <w:r w:rsidRPr="00181519">
        <w:rPr>
          <w:b/>
          <w:lang w:val="sl-SI"/>
        </w:rPr>
        <w:t>JAVNI NATEČAJ ZA IZBOR ŽUPANOVEGA VINA MESTNE OBČINE KOPER ZA LETO 202</w:t>
      </w:r>
      <w:r w:rsidR="00DC676A" w:rsidRPr="00181519">
        <w:rPr>
          <w:b/>
          <w:lang w:val="sl-SI"/>
        </w:rPr>
        <w:t>2</w:t>
      </w:r>
    </w:p>
    <w:p w14:paraId="4799E39D" w14:textId="77777777" w:rsidR="00C0694E" w:rsidRPr="00181519" w:rsidRDefault="00C0694E" w:rsidP="00DF79F2">
      <w:pPr>
        <w:jc w:val="both"/>
        <w:rPr>
          <w:b/>
          <w:bCs/>
          <w:lang w:val="sl-SI"/>
        </w:rPr>
      </w:pPr>
    </w:p>
    <w:p w14:paraId="75BDD300" w14:textId="77777777" w:rsidR="00C0694E" w:rsidRPr="00181519" w:rsidRDefault="00C0694E" w:rsidP="00DF79F2">
      <w:pPr>
        <w:jc w:val="both"/>
        <w:rPr>
          <w:b/>
          <w:bCs/>
          <w:lang w:val="sl-SI"/>
        </w:rPr>
      </w:pPr>
    </w:p>
    <w:p w14:paraId="0E54A675" w14:textId="572CAD18" w:rsidR="00C0694E" w:rsidRPr="00181519" w:rsidRDefault="00C0694E" w:rsidP="00DF79F2">
      <w:pPr>
        <w:pStyle w:val="BodyText"/>
        <w:numPr>
          <w:ilvl w:val="0"/>
          <w:numId w:val="23"/>
        </w:numPr>
        <w:tabs>
          <w:tab w:val="left" w:pos="0"/>
          <w:tab w:val="left" w:pos="284"/>
        </w:tabs>
        <w:suppressAutoHyphens/>
        <w:rPr>
          <w:rFonts w:ascii="Cambria" w:hAnsi="Cambria"/>
          <w:sz w:val="20"/>
        </w:rPr>
      </w:pPr>
      <w:r w:rsidRPr="00181519">
        <w:rPr>
          <w:rFonts w:ascii="Cambria" w:hAnsi="Cambria"/>
          <w:b/>
          <w:sz w:val="20"/>
        </w:rPr>
        <w:t>PREDMET JAVNEGA NATEČAJA</w:t>
      </w:r>
      <w:r w:rsidRPr="00181519">
        <w:rPr>
          <w:rFonts w:ascii="Cambria" w:hAnsi="Cambria"/>
          <w:sz w:val="20"/>
        </w:rPr>
        <w:t xml:space="preserve"> je izbor Županovega vina Mestne občine Koper za leto 202</w:t>
      </w:r>
      <w:r w:rsidR="00DC676A" w:rsidRPr="00181519">
        <w:rPr>
          <w:rFonts w:ascii="Cambria" w:hAnsi="Cambria"/>
          <w:sz w:val="20"/>
        </w:rPr>
        <w:t>2</w:t>
      </w:r>
      <w:r w:rsidRPr="00181519">
        <w:rPr>
          <w:rFonts w:ascii="Cambria" w:hAnsi="Cambria"/>
          <w:sz w:val="20"/>
        </w:rPr>
        <w:t>.</w:t>
      </w:r>
    </w:p>
    <w:p w14:paraId="608288EE" w14:textId="77777777" w:rsidR="00C0694E" w:rsidRPr="00181519" w:rsidRDefault="00C0694E" w:rsidP="00DF79F2">
      <w:pPr>
        <w:pStyle w:val="BodyText"/>
        <w:rPr>
          <w:rFonts w:ascii="Cambria" w:hAnsi="Cambria"/>
          <w:b/>
          <w:sz w:val="20"/>
        </w:rPr>
      </w:pPr>
    </w:p>
    <w:p w14:paraId="0ACBF5AB" w14:textId="77777777" w:rsidR="00C0694E" w:rsidRPr="00181519" w:rsidRDefault="00C0694E" w:rsidP="00DF79F2">
      <w:pPr>
        <w:pStyle w:val="BodyText"/>
        <w:rPr>
          <w:rFonts w:ascii="Cambria" w:hAnsi="Cambria"/>
          <w:b/>
          <w:sz w:val="20"/>
        </w:rPr>
      </w:pPr>
    </w:p>
    <w:p w14:paraId="4D9C677A" w14:textId="77777777" w:rsidR="00C0694E" w:rsidRPr="00181519" w:rsidRDefault="00C0694E" w:rsidP="00DF79F2">
      <w:pPr>
        <w:numPr>
          <w:ilvl w:val="0"/>
          <w:numId w:val="23"/>
        </w:numPr>
        <w:suppressAutoHyphens/>
        <w:jc w:val="both"/>
        <w:rPr>
          <w:b/>
          <w:lang w:val="sl-SI"/>
        </w:rPr>
      </w:pPr>
      <w:r w:rsidRPr="00181519">
        <w:rPr>
          <w:b/>
          <w:lang w:val="sl-SI"/>
        </w:rPr>
        <w:t>POGOJI IN MERILA</w:t>
      </w:r>
    </w:p>
    <w:p w14:paraId="043AA2AB" w14:textId="77777777" w:rsidR="00C0694E" w:rsidRPr="00181519" w:rsidRDefault="00C0694E" w:rsidP="00DF79F2">
      <w:pPr>
        <w:jc w:val="both"/>
        <w:rPr>
          <w:b/>
          <w:lang w:val="sl-SI"/>
        </w:rPr>
      </w:pPr>
    </w:p>
    <w:p w14:paraId="587F2A73" w14:textId="77777777" w:rsidR="00C0694E" w:rsidRPr="00181519" w:rsidRDefault="00C0694E" w:rsidP="00DF79F2">
      <w:pPr>
        <w:jc w:val="both"/>
        <w:rPr>
          <w:b/>
          <w:lang w:val="sl-SI"/>
        </w:rPr>
      </w:pPr>
      <w:r w:rsidRPr="00181519">
        <w:rPr>
          <w:b/>
          <w:lang w:val="sl-SI"/>
        </w:rPr>
        <w:t>Pogoji natečaja:</w:t>
      </w:r>
    </w:p>
    <w:p w14:paraId="218C5DB0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Na natečaju lahko sodelujejo registrirani vinarji, vinogradniki in vinske kleti (v nadaljevanju: sodelujoči): </w:t>
      </w:r>
    </w:p>
    <w:p w14:paraId="20F2EF99" w14:textId="77777777" w:rsidR="00C0694E" w:rsidRPr="00181519" w:rsidRDefault="00C0694E" w:rsidP="00DF79F2">
      <w:pPr>
        <w:numPr>
          <w:ilvl w:val="0"/>
          <w:numId w:val="24"/>
        </w:numPr>
        <w:suppressAutoHyphens/>
        <w:jc w:val="both"/>
        <w:rPr>
          <w:lang w:val="sl-SI"/>
        </w:rPr>
      </w:pPr>
      <w:r w:rsidRPr="00181519">
        <w:rPr>
          <w:lang w:val="sl-SI"/>
        </w:rPr>
        <w:t xml:space="preserve">s stalnim prebivališčem v Mestni občini Koper, </w:t>
      </w:r>
    </w:p>
    <w:p w14:paraId="22DE7F13" w14:textId="77777777" w:rsidR="00C0694E" w:rsidRPr="00181519" w:rsidRDefault="00C0694E" w:rsidP="00DF79F2">
      <w:pPr>
        <w:numPr>
          <w:ilvl w:val="0"/>
          <w:numId w:val="24"/>
        </w:numPr>
        <w:suppressAutoHyphens/>
        <w:jc w:val="both"/>
        <w:rPr>
          <w:lang w:val="sl-SI"/>
        </w:rPr>
      </w:pPr>
      <w:r w:rsidRPr="00181519">
        <w:rPr>
          <w:lang w:val="sl-SI"/>
        </w:rPr>
        <w:t>ki so vpisani v register pridelovalcev grozdja in vina pri pristojnem upravnem organu,</w:t>
      </w:r>
    </w:p>
    <w:p w14:paraId="4CBDC21C" w14:textId="77777777" w:rsidR="00C0694E" w:rsidRPr="00181519" w:rsidRDefault="00C0694E" w:rsidP="00DF79F2">
      <w:pPr>
        <w:numPr>
          <w:ilvl w:val="0"/>
          <w:numId w:val="24"/>
        </w:numPr>
        <w:suppressAutoHyphens/>
        <w:jc w:val="both"/>
        <w:rPr>
          <w:lang w:val="sl-SI"/>
        </w:rPr>
      </w:pPr>
      <w:r w:rsidRPr="00181519">
        <w:rPr>
          <w:lang w:val="sl-SI"/>
        </w:rPr>
        <w:t>ki imajo dovoljenje za stekleničenje vina,</w:t>
      </w:r>
    </w:p>
    <w:p w14:paraId="26CC8D95" w14:textId="77777777" w:rsidR="00C0694E" w:rsidRPr="00181519" w:rsidRDefault="00C0694E" w:rsidP="00DF79F2">
      <w:pPr>
        <w:numPr>
          <w:ilvl w:val="0"/>
          <w:numId w:val="24"/>
        </w:numPr>
        <w:tabs>
          <w:tab w:val="left" w:pos="0"/>
        </w:tabs>
        <w:suppressAutoHyphens/>
        <w:jc w:val="both"/>
        <w:rPr>
          <w:lang w:val="sl-SI"/>
        </w:rPr>
      </w:pPr>
      <w:r w:rsidRPr="00181519">
        <w:rPr>
          <w:lang w:val="sl-SI"/>
        </w:rPr>
        <w:t xml:space="preserve">katerih grozdje – vino je </w:t>
      </w:r>
      <w:r w:rsidRPr="00181519">
        <w:rPr>
          <w:b/>
          <w:lang w:val="sl-SI"/>
        </w:rPr>
        <w:t>izključno</w:t>
      </w:r>
      <w:r w:rsidRPr="00181519">
        <w:rPr>
          <w:lang w:val="sl-SI"/>
        </w:rPr>
        <w:t xml:space="preserve"> iz vinorodnega okoliša slovenske Istre, </w:t>
      </w:r>
    </w:p>
    <w:p w14:paraId="106045B4" w14:textId="77777777" w:rsidR="00C0694E" w:rsidRPr="00181519" w:rsidRDefault="00C0694E" w:rsidP="00DF79F2">
      <w:pPr>
        <w:numPr>
          <w:ilvl w:val="0"/>
          <w:numId w:val="24"/>
        </w:numPr>
        <w:tabs>
          <w:tab w:val="left" w:pos="0"/>
        </w:tabs>
        <w:suppressAutoHyphens/>
        <w:jc w:val="both"/>
        <w:rPr>
          <w:lang w:val="sl-SI"/>
        </w:rPr>
      </w:pPr>
      <w:r w:rsidRPr="00181519">
        <w:rPr>
          <w:lang w:val="sl-SI"/>
        </w:rPr>
        <w:t>ki lahko ponudijo v odkup najmanj 500 steklenic (0,75</w:t>
      </w:r>
      <w:proofErr w:type="gramStart"/>
      <w:r w:rsidRPr="00181519">
        <w:rPr>
          <w:lang w:val="sl-SI"/>
        </w:rPr>
        <w:t xml:space="preserve"> l</w:t>
      </w:r>
      <w:proofErr w:type="gramEnd"/>
      <w:r w:rsidRPr="00181519">
        <w:rPr>
          <w:lang w:val="sl-SI"/>
        </w:rPr>
        <w:t>) prijavljenega vina in razpolagajo z najmanj 1000 litri prijavljenega vina,</w:t>
      </w:r>
    </w:p>
    <w:p w14:paraId="585EC32F" w14:textId="456015FD" w:rsidR="00C0694E" w:rsidRPr="00181519" w:rsidRDefault="00C0694E" w:rsidP="00DF79F2">
      <w:pPr>
        <w:numPr>
          <w:ilvl w:val="0"/>
          <w:numId w:val="24"/>
        </w:numPr>
        <w:tabs>
          <w:tab w:val="left" w:pos="0"/>
        </w:tabs>
        <w:suppressAutoHyphens/>
        <w:jc w:val="both"/>
        <w:rPr>
          <w:lang w:val="sl-SI"/>
        </w:rPr>
      </w:pPr>
      <w:r w:rsidRPr="00181519">
        <w:rPr>
          <w:lang w:val="sl-SI"/>
        </w:rPr>
        <w:t xml:space="preserve">ki soglašajo z odkupno </w:t>
      </w:r>
      <w:r w:rsidRPr="00100390">
        <w:rPr>
          <w:lang w:val="sl-SI"/>
        </w:rPr>
        <w:t xml:space="preserve">ceno </w:t>
      </w:r>
      <w:r w:rsidR="00100390">
        <w:rPr>
          <w:lang w:val="sl-SI"/>
        </w:rPr>
        <w:t>9</w:t>
      </w:r>
      <w:r w:rsidRPr="00100390">
        <w:rPr>
          <w:lang w:val="sl-SI"/>
        </w:rPr>
        <w:t>,00</w:t>
      </w:r>
      <w:proofErr w:type="gramStart"/>
      <w:r w:rsidRPr="00100390">
        <w:rPr>
          <w:lang w:val="sl-SI"/>
        </w:rPr>
        <w:t xml:space="preserve"> </w:t>
      </w:r>
      <w:r w:rsidR="00100390">
        <w:rPr>
          <w:lang w:val="sl-SI"/>
        </w:rPr>
        <w:t>EUR</w:t>
      </w:r>
      <w:proofErr w:type="gramEnd"/>
      <w:r w:rsidRPr="00100390">
        <w:rPr>
          <w:lang w:val="sl-SI"/>
        </w:rPr>
        <w:t xml:space="preserve"> (bruto) za</w:t>
      </w:r>
      <w:r w:rsidRPr="00181519">
        <w:rPr>
          <w:lang w:val="sl-SI"/>
        </w:rPr>
        <w:t xml:space="preserve"> vsako odkupljeno steklenico vina s strani Mestne občine Koper (končni izdelek),</w:t>
      </w:r>
    </w:p>
    <w:p w14:paraId="4672D623" w14:textId="77777777" w:rsidR="00C0694E" w:rsidRPr="00181519" w:rsidRDefault="00C0694E" w:rsidP="00DF79F2">
      <w:pPr>
        <w:numPr>
          <w:ilvl w:val="0"/>
          <w:numId w:val="24"/>
        </w:numPr>
        <w:tabs>
          <w:tab w:val="left" w:pos="0"/>
        </w:tabs>
        <w:suppressAutoHyphens/>
        <w:jc w:val="both"/>
        <w:rPr>
          <w:lang w:val="sl-SI"/>
        </w:rPr>
      </w:pPr>
      <w:r w:rsidRPr="00181519">
        <w:rPr>
          <w:lang w:val="sl-SI"/>
        </w:rPr>
        <w:t>ki imajo urejeno blagovno znamko na trgu.</w:t>
      </w:r>
    </w:p>
    <w:p w14:paraId="3E8DE46A" w14:textId="72037728" w:rsidR="00C0694E" w:rsidRDefault="00C0694E" w:rsidP="00DF79F2">
      <w:pPr>
        <w:jc w:val="both"/>
        <w:rPr>
          <w:lang w:val="sl-SI"/>
        </w:rPr>
      </w:pPr>
    </w:p>
    <w:p w14:paraId="64809F55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Vsak sodelujoči lahko na natečaj prijavi </w:t>
      </w:r>
      <w:r w:rsidRPr="00181519">
        <w:rPr>
          <w:b/>
          <w:lang w:val="sl-SI"/>
        </w:rPr>
        <w:t>največ</w:t>
      </w:r>
      <w:r w:rsidRPr="00181519">
        <w:rPr>
          <w:lang w:val="sl-SI"/>
        </w:rPr>
        <w:t xml:space="preserve"> </w:t>
      </w:r>
      <w:r w:rsidRPr="00181519">
        <w:rPr>
          <w:b/>
          <w:lang w:val="sl-SI"/>
        </w:rPr>
        <w:t>tri</w:t>
      </w:r>
      <w:r w:rsidRPr="00181519">
        <w:rPr>
          <w:lang w:val="sl-SI"/>
        </w:rPr>
        <w:t xml:space="preserve"> vzorce vina obveznih </w:t>
      </w:r>
      <w:r w:rsidRPr="00181519">
        <w:rPr>
          <w:b/>
          <w:lang w:val="sl-SI"/>
        </w:rPr>
        <w:t>sort</w:t>
      </w:r>
      <w:r w:rsidRPr="00181519">
        <w:rPr>
          <w:lang w:val="sl-SI"/>
        </w:rPr>
        <w:t xml:space="preserve"> malvazija in/ali refošk, </w:t>
      </w:r>
      <w:r w:rsidRPr="00181519">
        <w:rPr>
          <w:b/>
          <w:lang w:val="sl-SI"/>
        </w:rPr>
        <w:t>ne glede na letnik trgatve</w:t>
      </w:r>
      <w:r w:rsidRPr="00181519">
        <w:rPr>
          <w:lang w:val="sl-SI"/>
        </w:rPr>
        <w:t xml:space="preserve">.   </w:t>
      </w:r>
    </w:p>
    <w:p w14:paraId="356D5E24" w14:textId="77777777" w:rsidR="00C0694E" w:rsidRPr="00181519" w:rsidRDefault="00C0694E" w:rsidP="00DF79F2">
      <w:pPr>
        <w:jc w:val="both"/>
        <w:rPr>
          <w:lang w:val="sl-SI"/>
        </w:rPr>
      </w:pPr>
    </w:p>
    <w:p w14:paraId="3FC151E3" w14:textId="7E22A397" w:rsidR="00C0694E" w:rsidRPr="000A4F2B" w:rsidRDefault="00C0694E" w:rsidP="00DF79F2">
      <w:pPr>
        <w:tabs>
          <w:tab w:val="left" w:pos="3960"/>
        </w:tabs>
        <w:jc w:val="both"/>
        <w:rPr>
          <w:strike/>
          <w:lang w:val="sl-SI"/>
        </w:rPr>
      </w:pPr>
      <w:r w:rsidRPr="00181519">
        <w:rPr>
          <w:lang w:val="sl-SI"/>
        </w:rPr>
        <w:t>Vina bo ocenjevala strokovna ocenjevalna komisija v primerno toplih in svetlih prostorih, ohlajena bodo na idealno degustacijsko temperaturo in razvrščena glede na posamezno kategorijo vina po barvi, aromatiki</w:t>
      </w:r>
      <w:proofErr w:type="gramStart"/>
      <w:r w:rsidRPr="00181519">
        <w:rPr>
          <w:lang w:val="sl-SI"/>
        </w:rPr>
        <w:t xml:space="preserve"> ter</w:t>
      </w:r>
      <w:proofErr w:type="gramEnd"/>
      <w:r w:rsidRPr="00181519">
        <w:rPr>
          <w:lang w:val="sl-SI"/>
        </w:rPr>
        <w:t xml:space="preserve"> preostanku nepovretega sladkorja. Ocenjevanje bo anonimno. Vsak ocenjevalec bo imel svoj </w:t>
      </w:r>
      <w:proofErr w:type="gramStart"/>
      <w:r w:rsidRPr="00181519">
        <w:rPr>
          <w:lang w:val="sl-SI"/>
        </w:rPr>
        <w:t>ločen</w:t>
      </w:r>
      <w:proofErr w:type="gramEnd"/>
      <w:r w:rsidRPr="00181519">
        <w:rPr>
          <w:lang w:val="sl-SI"/>
        </w:rPr>
        <w:t xml:space="preserve"> prostor, kjer ga nihče ne bo oviral pri samostojnem delu. </w:t>
      </w:r>
    </w:p>
    <w:p w14:paraId="766F3DE4" w14:textId="77777777" w:rsidR="00C0694E" w:rsidRPr="00181519" w:rsidRDefault="00C0694E" w:rsidP="00DF79F2">
      <w:pPr>
        <w:jc w:val="both"/>
        <w:rPr>
          <w:lang w:val="sl-SI"/>
        </w:rPr>
      </w:pPr>
    </w:p>
    <w:p w14:paraId="24A63829" w14:textId="77777777" w:rsidR="00C0694E" w:rsidRPr="00181519" w:rsidRDefault="00C0694E" w:rsidP="00DF79F2">
      <w:pPr>
        <w:jc w:val="both"/>
        <w:rPr>
          <w:b/>
          <w:lang w:val="sl-SI"/>
        </w:rPr>
      </w:pPr>
      <w:r w:rsidRPr="00181519">
        <w:rPr>
          <w:b/>
          <w:lang w:val="sl-SI"/>
        </w:rPr>
        <w:t>Merila natečaja:</w:t>
      </w:r>
    </w:p>
    <w:p w14:paraId="17C538C4" w14:textId="6D126EC8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Za ocenjevanje vina bo uporab</w:t>
      </w:r>
      <w:r w:rsidR="00DA5C55">
        <w:rPr>
          <w:lang w:val="sl-SI"/>
        </w:rPr>
        <w:t xml:space="preserve">ljen </w:t>
      </w:r>
      <w:r w:rsidRPr="00181519">
        <w:rPr>
          <w:lang w:val="sl-SI"/>
        </w:rPr>
        <w:t>ocenjevalni sistem po 100-točkovni metodi, ki jo</w:t>
      </w:r>
      <w:r w:rsidR="002E0786">
        <w:rPr>
          <w:lang w:val="sl-SI"/>
        </w:rPr>
        <w:t xml:space="preserve"> </w:t>
      </w:r>
      <w:proofErr w:type="gramStart"/>
      <w:r w:rsidRPr="00181519">
        <w:rPr>
          <w:lang w:val="sl-SI"/>
        </w:rPr>
        <w:t>priporočajo</w:t>
      </w:r>
      <w:proofErr w:type="gramEnd"/>
      <w:r w:rsidRPr="00181519">
        <w:rPr>
          <w:lang w:val="sl-SI"/>
        </w:rPr>
        <w:t xml:space="preserve"> Mednarodna organizacija za trto in vino (O.I.V.), Mednarodna zveza enologov (U.I.</w:t>
      </w:r>
      <w:proofErr w:type="spellStart"/>
      <w:r w:rsidRPr="00181519">
        <w:rPr>
          <w:lang w:val="sl-SI"/>
        </w:rPr>
        <w:t>OE</w:t>
      </w:r>
      <w:proofErr w:type="spellEnd"/>
      <w:r w:rsidRPr="00181519">
        <w:rPr>
          <w:lang w:val="sl-SI"/>
        </w:rPr>
        <w:t>.) in Svetovna Federacija velikih mednarodnih ocenjevanj (</w:t>
      </w:r>
      <w:proofErr w:type="spellStart"/>
      <w:r w:rsidRPr="00181519">
        <w:rPr>
          <w:lang w:val="sl-SI"/>
        </w:rPr>
        <w:t>FMGCIVS</w:t>
      </w:r>
      <w:proofErr w:type="spellEnd"/>
      <w:r w:rsidRPr="00181519">
        <w:rPr>
          <w:lang w:val="sl-SI"/>
        </w:rPr>
        <w:t xml:space="preserve">). </w:t>
      </w:r>
    </w:p>
    <w:p w14:paraId="24C94B83" w14:textId="1F45652A" w:rsidR="00DA5C55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Ocenjevanje po natečaju zadošča vsem merilom navedenih mednarodnih institucij in ga bo izvedla </w:t>
      </w:r>
      <w:r w:rsidR="00DC676A" w:rsidRPr="00181519">
        <w:rPr>
          <w:lang w:val="sl-SI"/>
        </w:rPr>
        <w:t>5-članska</w:t>
      </w:r>
      <w:r w:rsidRPr="00181519">
        <w:rPr>
          <w:lang w:val="sl-SI"/>
        </w:rPr>
        <w:t xml:space="preserve"> ocenjevalna komisija v</w:t>
      </w:r>
      <w:r w:rsidR="000A4F2B">
        <w:rPr>
          <w:lang w:val="sl-SI"/>
        </w:rPr>
        <w:t xml:space="preserve"> Pretorski palači v Kopru</w:t>
      </w:r>
      <w:r w:rsidRPr="00181519">
        <w:rPr>
          <w:lang w:val="sl-SI"/>
        </w:rPr>
        <w:t xml:space="preserve">. </w:t>
      </w:r>
    </w:p>
    <w:p w14:paraId="25043C41" w14:textId="77777777" w:rsidR="00DA5C55" w:rsidRDefault="00DA5C55" w:rsidP="00DF79F2">
      <w:pPr>
        <w:jc w:val="both"/>
        <w:rPr>
          <w:lang w:val="sl-SI"/>
        </w:rPr>
      </w:pPr>
    </w:p>
    <w:p w14:paraId="03FD4E5C" w14:textId="76C95664" w:rsidR="00DA5C55" w:rsidRPr="00DA5C55" w:rsidRDefault="00DA5C55" w:rsidP="00DF79F2">
      <w:pPr>
        <w:jc w:val="both"/>
        <w:rPr>
          <w:b/>
          <w:lang w:val="sl-SI"/>
        </w:rPr>
      </w:pPr>
      <w:r w:rsidRPr="00DA5C55">
        <w:rPr>
          <w:b/>
          <w:lang w:val="sl-SI"/>
        </w:rPr>
        <w:t>Komisija:</w:t>
      </w:r>
    </w:p>
    <w:p w14:paraId="10523061" w14:textId="7D5E46A6" w:rsidR="00DA5C55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Člane ocenjevalne komisije imenuje župan s sklepom. </w:t>
      </w:r>
    </w:p>
    <w:p w14:paraId="041F6FB4" w14:textId="6231172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Nihče izmed članov ocenjevalne komisije ne sme sodelovati z lastnimi vini ali vini svoje družine, v tem primeru bo župan imenoval drugega člana komisije.</w:t>
      </w:r>
    </w:p>
    <w:p w14:paraId="450CFE38" w14:textId="77777777" w:rsidR="00C0694E" w:rsidRPr="00181519" w:rsidRDefault="00C0694E" w:rsidP="00DF79F2">
      <w:pPr>
        <w:jc w:val="both"/>
        <w:rPr>
          <w:color w:val="000000"/>
          <w:lang w:val="sl-SI"/>
        </w:rPr>
      </w:pPr>
    </w:p>
    <w:p w14:paraId="1E817C2B" w14:textId="77777777" w:rsidR="00C0694E" w:rsidRPr="00181519" w:rsidRDefault="00C0694E" w:rsidP="00DF79F2">
      <w:pPr>
        <w:jc w:val="both"/>
        <w:rPr>
          <w:color w:val="000000"/>
          <w:lang w:val="sl-SI"/>
        </w:rPr>
      </w:pPr>
    </w:p>
    <w:p w14:paraId="68853E95" w14:textId="77777777" w:rsidR="00C0694E" w:rsidRPr="00181519" w:rsidRDefault="00C0694E" w:rsidP="00DF79F2">
      <w:pPr>
        <w:jc w:val="both"/>
        <w:rPr>
          <w:b/>
          <w:lang w:val="sl-SI"/>
        </w:rPr>
      </w:pPr>
      <w:r w:rsidRPr="00181519">
        <w:rPr>
          <w:b/>
          <w:lang w:val="sl-SI"/>
        </w:rPr>
        <w:t>TABELA TOČKOVANJA:</w:t>
      </w:r>
    </w:p>
    <w:p w14:paraId="5ABEC679" w14:textId="77777777" w:rsidR="00C0694E" w:rsidRPr="00181519" w:rsidRDefault="00C0694E" w:rsidP="00DF79F2">
      <w:pPr>
        <w:jc w:val="both"/>
        <w:rPr>
          <w:b/>
          <w:lang w:val="sl-SI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686"/>
        <w:gridCol w:w="850"/>
        <w:gridCol w:w="851"/>
        <w:gridCol w:w="1437"/>
      </w:tblGrid>
      <w:tr w:rsidR="00C0694E" w:rsidRPr="00181519" w14:paraId="5B89819D" w14:textId="77777777" w:rsidTr="00362111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102D2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1D96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lastnost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9E187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proofErr w:type="gramStart"/>
            <w:r w:rsidRPr="00181519">
              <w:rPr>
                <w:lang w:val="sl-SI"/>
              </w:rPr>
              <w:t>ponder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D050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točk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D3F7E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Skupaj točk</w:t>
            </w:r>
          </w:p>
        </w:tc>
      </w:tr>
      <w:tr w:rsidR="00C0694E" w:rsidRPr="00181519" w14:paraId="0F9929A3" w14:textId="77777777" w:rsidTr="00362111">
        <w:trPr>
          <w:trHeight w:val="54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50C2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VIDEZ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CEB76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Bistrost in barva  </w:t>
            </w:r>
          </w:p>
          <w:p w14:paraId="3ED1BE32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(od 1 do 10)        </w:t>
            </w:r>
          </w:p>
          <w:p w14:paraId="0F7A6414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E0A90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1x</w:t>
            </w:r>
          </w:p>
          <w:p w14:paraId="63C81219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367B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10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C7A6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10</w:t>
            </w:r>
          </w:p>
        </w:tc>
      </w:tr>
      <w:tr w:rsidR="00C0694E" w:rsidRPr="00181519" w14:paraId="0BA4A667" w14:textId="77777777" w:rsidTr="00362111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F0F23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VONJ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58AD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Čistost, finost vonja</w:t>
            </w:r>
          </w:p>
          <w:p w14:paraId="6FDAD012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Intenzivnost vonja</w:t>
            </w:r>
          </w:p>
          <w:p w14:paraId="386D309C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Tipičnost vonja</w:t>
            </w:r>
          </w:p>
          <w:p w14:paraId="4FEEA411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90063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1x</w:t>
            </w:r>
          </w:p>
          <w:p w14:paraId="07309223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1x</w:t>
            </w:r>
          </w:p>
          <w:p w14:paraId="6D62F6B8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1x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DEEB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10 </w:t>
            </w:r>
          </w:p>
          <w:p w14:paraId="78378A66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10</w:t>
            </w:r>
          </w:p>
          <w:p w14:paraId="05C571A1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10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E9A9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30</w:t>
            </w:r>
          </w:p>
        </w:tc>
      </w:tr>
      <w:tr w:rsidR="00C0694E" w:rsidRPr="00181519" w14:paraId="65743878" w14:textId="77777777" w:rsidTr="00362111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08520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OKUS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06F1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Kakovost, ravnovesje</w:t>
            </w:r>
          </w:p>
          <w:p w14:paraId="66270C70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Intenzivnost, pookus</w:t>
            </w:r>
          </w:p>
          <w:p w14:paraId="03150A12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Tipičnost okusa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FFECC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2x</w:t>
            </w:r>
          </w:p>
          <w:p w14:paraId="214EC309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1x</w:t>
            </w:r>
          </w:p>
          <w:p w14:paraId="659D0277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1x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7309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20</w:t>
            </w:r>
          </w:p>
          <w:p w14:paraId="356DF803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10</w:t>
            </w:r>
          </w:p>
          <w:p w14:paraId="56D05977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03EC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40</w:t>
            </w:r>
          </w:p>
        </w:tc>
      </w:tr>
      <w:tr w:rsidR="00C0694E" w:rsidRPr="00181519" w14:paraId="53467AA3" w14:textId="77777777" w:rsidTr="00362111">
        <w:trPr>
          <w:trHeight w:val="69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7353A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SPLOŠNI VTIS</w:t>
            </w:r>
          </w:p>
          <w:p w14:paraId="47B1BF8C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E30A9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Splošna harmonija</w:t>
            </w:r>
          </w:p>
          <w:p w14:paraId="006D6BDC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  <w:p w14:paraId="00CF8DB3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BB70A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>1x</w:t>
            </w:r>
          </w:p>
          <w:p w14:paraId="6629C3A5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  <w:p w14:paraId="6B438DB2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FD011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20</w:t>
            </w:r>
          </w:p>
          <w:p w14:paraId="22FDCCF5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  <w:p w14:paraId="7DAC8FFE" w14:textId="77777777" w:rsidR="00C0694E" w:rsidRPr="00181519" w:rsidRDefault="00C0694E" w:rsidP="00DF79F2">
            <w:pPr>
              <w:jc w:val="both"/>
              <w:rPr>
                <w:lang w:val="sl-S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FDEE" w14:textId="77777777" w:rsidR="00C0694E" w:rsidRPr="00181519" w:rsidRDefault="00C0694E" w:rsidP="00DF79F2">
            <w:pPr>
              <w:snapToGrid w:val="0"/>
              <w:jc w:val="both"/>
              <w:rPr>
                <w:lang w:val="sl-SI"/>
              </w:rPr>
            </w:pPr>
            <w:r w:rsidRPr="00181519">
              <w:rPr>
                <w:lang w:val="sl-SI"/>
              </w:rPr>
              <w:t xml:space="preserve"> 20</w:t>
            </w:r>
          </w:p>
        </w:tc>
      </w:tr>
    </w:tbl>
    <w:p w14:paraId="51DB9DA0" w14:textId="45CA987C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Vsak </w:t>
      </w:r>
      <w:r w:rsidR="00092DA3" w:rsidRPr="00181519">
        <w:rPr>
          <w:lang w:val="sl-SI"/>
        </w:rPr>
        <w:t>prijavljeni</w:t>
      </w:r>
      <w:r w:rsidRPr="00181519">
        <w:rPr>
          <w:lang w:val="sl-SI"/>
        </w:rPr>
        <w:t xml:space="preserve"> vzorec vina lahko doseže največ 100 točk.</w:t>
      </w:r>
    </w:p>
    <w:p w14:paraId="713AD7DE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lastRenderedPageBreak/>
        <w:t>Vino je izločeno, če ga trije člani komisije ocenijo s 65,00 ali manj točkami in na ocenjevalnem listu navedejo vzrok izločitve.</w:t>
      </w:r>
    </w:p>
    <w:p w14:paraId="79784A31" w14:textId="77777777" w:rsidR="00C0694E" w:rsidRPr="00181519" w:rsidRDefault="00C0694E" w:rsidP="00DF79F2">
      <w:pPr>
        <w:jc w:val="both"/>
        <w:rPr>
          <w:lang w:val="sl-SI"/>
        </w:rPr>
      </w:pPr>
    </w:p>
    <w:p w14:paraId="16C34565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Pred začetkom ocenjevanja in pred vsako novo kategorijo vin se ocenjevalci uskladijo z enim uravnalnim vzorcem.</w:t>
      </w:r>
    </w:p>
    <w:p w14:paraId="5C49F673" w14:textId="77777777" w:rsidR="00C0694E" w:rsidRPr="00181519" w:rsidRDefault="00C0694E" w:rsidP="00DF79F2">
      <w:pPr>
        <w:jc w:val="both"/>
        <w:rPr>
          <w:lang w:val="sl-SI"/>
        </w:rPr>
      </w:pPr>
    </w:p>
    <w:p w14:paraId="1C8093EA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Opisno ocenjevanje vin bo potekalo vzporedno na posebej pripravljenih ocenjevalnih listih za posamezno kategorijo vin: malvazija in/ali refošk. Vsak ocenjevalec bo opisal videz, vonj, okus in končno harmonijo vina, kar bo še dodatna motivacija za poglobljeno analizo vinske kakovosti. </w:t>
      </w:r>
    </w:p>
    <w:p w14:paraId="0BB72E56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Opis vina je dragocena informacija, ki bo vinarju povedala, kako je njegovo vino zaznalo pet ocenjevalcev.</w:t>
      </w:r>
    </w:p>
    <w:p w14:paraId="0D7940CF" w14:textId="77777777" w:rsidR="00C0694E" w:rsidRPr="00181519" w:rsidRDefault="00C0694E" w:rsidP="00DF79F2">
      <w:pPr>
        <w:jc w:val="both"/>
        <w:rPr>
          <w:lang w:val="sl-SI"/>
        </w:rPr>
      </w:pPr>
    </w:p>
    <w:p w14:paraId="7FB7F513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Predsednik komisije pregleduje posamezne ocenjevalne liste in ugotavlja ter primerja pripombe članov komisije. V primeru večjega odstopanja med posameznimi ocenami lahko določi tudi ponovno ocenitev dotičnega vzorca. Ocenjevanje vzorca se ponovi (druga steklenica) tudi v primeru zaznave vonja po zamašku ali kakšni drugi napaki. Predsednik ocenjevalne komisije koordinira delo komisije ter skrbi za nemoten potek ocenjevanja.</w:t>
      </w:r>
    </w:p>
    <w:p w14:paraId="4F41DCBA" w14:textId="77777777" w:rsidR="00C0694E" w:rsidRPr="00181519" w:rsidRDefault="00C0694E" w:rsidP="00DF79F2">
      <w:pPr>
        <w:jc w:val="both"/>
        <w:rPr>
          <w:lang w:val="sl-SI"/>
        </w:rPr>
      </w:pPr>
    </w:p>
    <w:p w14:paraId="2CBDAB1B" w14:textId="77777777" w:rsidR="00C0694E" w:rsidRPr="00181519" w:rsidRDefault="00C0694E" w:rsidP="00DF79F2">
      <w:pPr>
        <w:numPr>
          <w:ilvl w:val="0"/>
          <w:numId w:val="23"/>
        </w:numPr>
        <w:suppressAutoHyphens/>
        <w:jc w:val="both"/>
        <w:rPr>
          <w:b/>
          <w:caps/>
          <w:lang w:val="sl-SI"/>
        </w:rPr>
      </w:pPr>
      <w:r w:rsidRPr="00181519">
        <w:rPr>
          <w:b/>
          <w:caps/>
          <w:lang w:val="sl-SI"/>
        </w:rPr>
        <w:t>Nagrade in njihove vrednosti</w:t>
      </w:r>
    </w:p>
    <w:p w14:paraId="0359F4FE" w14:textId="77777777" w:rsidR="00C0694E" w:rsidRPr="00181519" w:rsidRDefault="00C0694E" w:rsidP="00DF79F2">
      <w:pPr>
        <w:jc w:val="both"/>
        <w:rPr>
          <w:b/>
          <w:caps/>
          <w:lang w:val="sl-SI"/>
        </w:rPr>
      </w:pPr>
    </w:p>
    <w:p w14:paraId="2D186102" w14:textId="1EA30A61" w:rsidR="00C0694E" w:rsidRDefault="00C0694E" w:rsidP="00DF79F2">
      <w:pPr>
        <w:pStyle w:val="BodyText"/>
        <w:tabs>
          <w:tab w:val="left" w:pos="0"/>
          <w:tab w:val="left" w:pos="284"/>
        </w:tabs>
        <w:rPr>
          <w:rFonts w:ascii="Cambria" w:hAnsi="Cambria"/>
          <w:sz w:val="20"/>
        </w:rPr>
      </w:pPr>
      <w:r w:rsidRPr="00F601D9">
        <w:rPr>
          <w:rFonts w:ascii="Cambria" w:hAnsi="Cambria"/>
          <w:sz w:val="20"/>
        </w:rPr>
        <w:t>Vin</w:t>
      </w:r>
      <w:r w:rsidR="00F601D9" w:rsidRPr="00F601D9">
        <w:rPr>
          <w:rFonts w:ascii="Cambria" w:hAnsi="Cambria"/>
          <w:sz w:val="20"/>
        </w:rPr>
        <w:t xml:space="preserve">o, </w:t>
      </w:r>
      <w:r w:rsidRPr="00F601D9">
        <w:rPr>
          <w:rFonts w:ascii="Cambria" w:hAnsi="Cambria"/>
          <w:sz w:val="20"/>
        </w:rPr>
        <w:t>ki mu</w:t>
      </w:r>
      <w:r w:rsidRPr="00181519">
        <w:rPr>
          <w:rFonts w:ascii="Cambria" w:hAnsi="Cambria"/>
          <w:sz w:val="20"/>
        </w:rPr>
        <w:t xml:space="preserve"> bo komisija dodelila najvišje število točk, bo nagrajeno z nazivom </w:t>
      </w:r>
      <w:r w:rsidRPr="00181519">
        <w:rPr>
          <w:rFonts w:ascii="Cambria" w:hAnsi="Cambria"/>
          <w:b/>
          <w:sz w:val="20"/>
        </w:rPr>
        <w:t xml:space="preserve">ŽUPANOVO VINO MESTNE OBČINE KOPER </w:t>
      </w:r>
      <w:proofErr w:type="gramStart"/>
      <w:r w:rsidRPr="00181519">
        <w:rPr>
          <w:rFonts w:ascii="Cambria" w:hAnsi="Cambria"/>
          <w:b/>
          <w:sz w:val="20"/>
        </w:rPr>
        <w:t>ZA</w:t>
      </w:r>
      <w:proofErr w:type="gramEnd"/>
      <w:r w:rsidRPr="00181519">
        <w:rPr>
          <w:rFonts w:ascii="Cambria" w:hAnsi="Cambria"/>
          <w:b/>
          <w:sz w:val="20"/>
        </w:rPr>
        <w:t xml:space="preserve"> LETO 202</w:t>
      </w:r>
      <w:r w:rsidR="00DC676A" w:rsidRPr="00181519">
        <w:rPr>
          <w:rFonts w:ascii="Cambria" w:hAnsi="Cambria"/>
          <w:b/>
          <w:sz w:val="20"/>
        </w:rPr>
        <w:t>2</w:t>
      </w:r>
      <w:r w:rsidR="00100390">
        <w:rPr>
          <w:rFonts w:ascii="Cambria" w:hAnsi="Cambria"/>
          <w:b/>
          <w:sz w:val="20"/>
        </w:rPr>
        <w:t xml:space="preserve">/IL VINO DEL </w:t>
      </w:r>
      <w:proofErr w:type="spellStart"/>
      <w:r w:rsidR="00100390">
        <w:rPr>
          <w:rFonts w:ascii="Cambria" w:hAnsi="Cambria"/>
          <w:b/>
          <w:sz w:val="20"/>
        </w:rPr>
        <w:t>SINDACO</w:t>
      </w:r>
      <w:proofErr w:type="spellEnd"/>
      <w:r w:rsidR="00100390">
        <w:rPr>
          <w:rFonts w:ascii="Cambria" w:hAnsi="Cambria"/>
          <w:b/>
          <w:sz w:val="20"/>
        </w:rPr>
        <w:t xml:space="preserve"> DEL </w:t>
      </w:r>
      <w:proofErr w:type="spellStart"/>
      <w:r w:rsidR="00100390">
        <w:rPr>
          <w:rFonts w:ascii="Cambria" w:hAnsi="Cambria"/>
          <w:b/>
          <w:sz w:val="20"/>
        </w:rPr>
        <w:t>COMUNE</w:t>
      </w:r>
      <w:proofErr w:type="spellEnd"/>
      <w:r w:rsidR="00100390">
        <w:rPr>
          <w:rFonts w:ascii="Cambria" w:hAnsi="Cambria"/>
          <w:b/>
          <w:sz w:val="20"/>
        </w:rPr>
        <w:t xml:space="preserve"> </w:t>
      </w:r>
      <w:proofErr w:type="spellStart"/>
      <w:r w:rsidR="00100390">
        <w:rPr>
          <w:rFonts w:ascii="Cambria" w:hAnsi="Cambria"/>
          <w:b/>
          <w:sz w:val="20"/>
        </w:rPr>
        <w:t>CITTÀ</w:t>
      </w:r>
      <w:proofErr w:type="spellEnd"/>
      <w:r w:rsidR="00100390">
        <w:rPr>
          <w:rFonts w:ascii="Cambria" w:hAnsi="Cambria"/>
          <w:b/>
          <w:sz w:val="20"/>
        </w:rPr>
        <w:t xml:space="preserve"> DI </w:t>
      </w:r>
      <w:proofErr w:type="spellStart"/>
      <w:r w:rsidR="00100390">
        <w:rPr>
          <w:rFonts w:ascii="Cambria" w:hAnsi="Cambria"/>
          <w:b/>
          <w:sz w:val="20"/>
        </w:rPr>
        <w:t>CAPODISTRIA</w:t>
      </w:r>
      <w:proofErr w:type="spellEnd"/>
      <w:r w:rsidR="00100390">
        <w:rPr>
          <w:rFonts w:ascii="Cambria" w:hAnsi="Cambria"/>
          <w:b/>
          <w:sz w:val="20"/>
        </w:rPr>
        <w:t xml:space="preserve"> PER IL 2022</w:t>
      </w:r>
      <w:r w:rsidRPr="00181519">
        <w:rPr>
          <w:rFonts w:ascii="Cambria" w:hAnsi="Cambria"/>
          <w:b/>
          <w:sz w:val="20"/>
        </w:rPr>
        <w:t>,</w:t>
      </w:r>
      <w:r w:rsidRPr="00181519">
        <w:rPr>
          <w:rFonts w:ascii="Cambria" w:hAnsi="Cambria"/>
          <w:b/>
          <w:bCs/>
          <w:sz w:val="20"/>
        </w:rPr>
        <w:t xml:space="preserve"> </w:t>
      </w:r>
      <w:r w:rsidRPr="00181519">
        <w:rPr>
          <w:rFonts w:ascii="Cambria" w:hAnsi="Cambria"/>
          <w:bCs/>
          <w:sz w:val="20"/>
        </w:rPr>
        <w:t>ki ga bo sodelujoči lahko uporabil za svoje promocijske namene</w:t>
      </w:r>
      <w:r w:rsidRPr="00181519">
        <w:rPr>
          <w:rFonts w:ascii="Cambria" w:hAnsi="Cambria"/>
          <w:sz w:val="20"/>
        </w:rPr>
        <w:t xml:space="preserve">. </w:t>
      </w:r>
    </w:p>
    <w:p w14:paraId="6753C873" w14:textId="1F99F7D6" w:rsidR="00FA3161" w:rsidRDefault="00FA3161" w:rsidP="00DF79F2">
      <w:pPr>
        <w:pStyle w:val="BodyText"/>
        <w:tabs>
          <w:tab w:val="left" w:pos="0"/>
          <w:tab w:val="left" w:pos="284"/>
        </w:tabs>
        <w:rPr>
          <w:rFonts w:ascii="Cambria" w:hAnsi="Cambria"/>
          <w:sz w:val="20"/>
        </w:rPr>
      </w:pPr>
    </w:p>
    <w:p w14:paraId="1B4E4E10" w14:textId="77777777" w:rsidR="00C0694E" w:rsidRPr="00181519" w:rsidRDefault="00C0694E" w:rsidP="00DF79F2">
      <w:pPr>
        <w:spacing w:before="100" w:beforeAutospacing="1"/>
        <w:jc w:val="both"/>
        <w:rPr>
          <w:lang w:val="sl-SI"/>
        </w:rPr>
      </w:pPr>
      <w:r w:rsidRPr="00181519">
        <w:rPr>
          <w:lang w:val="sl-SI"/>
        </w:rPr>
        <w:t>Na podlagi doseženega števila točk se ostalim sodelujočim na natečaju podeli:</w:t>
      </w:r>
    </w:p>
    <w:p w14:paraId="26158877" w14:textId="77777777" w:rsidR="00C0694E" w:rsidRPr="00181519" w:rsidRDefault="00C0694E" w:rsidP="00DC676A">
      <w:pPr>
        <w:numPr>
          <w:ilvl w:val="0"/>
          <w:numId w:val="28"/>
        </w:numPr>
        <w:suppressAutoHyphens/>
        <w:jc w:val="both"/>
        <w:rPr>
          <w:b/>
          <w:lang w:val="sl-SI"/>
        </w:rPr>
      </w:pPr>
      <w:r w:rsidRPr="00181519">
        <w:rPr>
          <w:b/>
          <w:lang w:val="sl-SI"/>
        </w:rPr>
        <w:t xml:space="preserve">velika zlata medalja </w:t>
      </w:r>
      <w:r w:rsidRPr="00181519">
        <w:rPr>
          <w:lang w:val="sl-SI"/>
        </w:rPr>
        <w:t>za vzorce vina, ki bodo dosegli od 90 do 100 točk;</w:t>
      </w:r>
    </w:p>
    <w:p w14:paraId="2321101A" w14:textId="77777777" w:rsidR="00C0694E" w:rsidRPr="00181519" w:rsidRDefault="00C0694E" w:rsidP="00DC676A">
      <w:pPr>
        <w:numPr>
          <w:ilvl w:val="0"/>
          <w:numId w:val="28"/>
        </w:numPr>
        <w:suppressAutoHyphens/>
        <w:jc w:val="both"/>
        <w:rPr>
          <w:lang w:val="sl-SI"/>
        </w:rPr>
      </w:pPr>
      <w:r w:rsidRPr="00181519">
        <w:rPr>
          <w:b/>
          <w:lang w:val="sl-SI"/>
        </w:rPr>
        <w:t>zlata medalja</w:t>
      </w:r>
      <w:r w:rsidRPr="00181519">
        <w:rPr>
          <w:lang w:val="sl-SI"/>
        </w:rPr>
        <w:t xml:space="preserve"> za vzorce vina, ki bodo dosegli od 85 do 89,99 točk;</w:t>
      </w:r>
    </w:p>
    <w:p w14:paraId="46738B3D" w14:textId="77777777" w:rsidR="00C0694E" w:rsidRPr="00181519" w:rsidRDefault="00C0694E" w:rsidP="00DC676A">
      <w:pPr>
        <w:numPr>
          <w:ilvl w:val="0"/>
          <w:numId w:val="28"/>
        </w:numPr>
        <w:suppressAutoHyphens/>
        <w:jc w:val="both"/>
        <w:rPr>
          <w:lang w:val="sl-SI"/>
        </w:rPr>
      </w:pPr>
      <w:r w:rsidRPr="00181519">
        <w:rPr>
          <w:b/>
          <w:lang w:val="sl-SI"/>
        </w:rPr>
        <w:t>srebrna medalja</w:t>
      </w:r>
      <w:r w:rsidRPr="00181519">
        <w:rPr>
          <w:lang w:val="sl-SI"/>
        </w:rPr>
        <w:t xml:space="preserve"> za vzorce vina, ki bodo dosegli od 80 do 84,99 točk;</w:t>
      </w:r>
    </w:p>
    <w:p w14:paraId="59B17C2C" w14:textId="77777777" w:rsidR="00C0694E" w:rsidRPr="00181519" w:rsidRDefault="00C0694E" w:rsidP="00DC676A">
      <w:pPr>
        <w:numPr>
          <w:ilvl w:val="0"/>
          <w:numId w:val="28"/>
        </w:numPr>
        <w:suppressAutoHyphens/>
        <w:jc w:val="both"/>
        <w:rPr>
          <w:lang w:val="sl-SI"/>
        </w:rPr>
      </w:pPr>
      <w:r w:rsidRPr="00181519">
        <w:rPr>
          <w:b/>
          <w:lang w:val="sl-SI"/>
        </w:rPr>
        <w:t xml:space="preserve">bronasta medalja </w:t>
      </w:r>
      <w:r w:rsidRPr="00181519">
        <w:rPr>
          <w:lang w:val="sl-SI"/>
        </w:rPr>
        <w:t>za vzorce vina, ki bodo dosegli od 75 do 79,99 točk.</w:t>
      </w:r>
    </w:p>
    <w:p w14:paraId="08F59C19" w14:textId="77777777" w:rsidR="00C0694E" w:rsidRPr="00181519" w:rsidRDefault="00C0694E" w:rsidP="00DF79F2">
      <w:pPr>
        <w:jc w:val="both"/>
        <w:rPr>
          <w:lang w:val="sl-SI"/>
        </w:rPr>
      </w:pPr>
    </w:p>
    <w:p w14:paraId="51722513" w14:textId="429F84DA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Ostali sodelujoči bodo prejeli </w:t>
      </w:r>
      <w:r w:rsidRPr="00181519">
        <w:rPr>
          <w:b/>
          <w:lang w:val="sl-SI"/>
        </w:rPr>
        <w:t>zahvalo za sodelovanje</w:t>
      </w:r>
      <w:r w:rsidRPr="00181519">
        <w:rPr>
          <w:lang w:val="sl-SI"/>
        </w:rPr>
        <w:t xml:space="preserve"> na natečaju ŽUPANOVO VINO MESTNE OBČINE KOPER ZA LETO 202</w:t>
      </w:r>
      <w:r w:rsidR="00DC676A" w:rsidRPr="00181519">
        <w:rPr>
          <w:lang w:val="sl-SI"/>
        </w:rPr>
        <w:t>2</w:t>
      </w:r>
      <w:r w:rsidRPr="00181519">
        <w:rPr>
          <w:lang w:val="sl-SI"/>
        </w:rPr>
        <w:t>.</w:t>
      </w:r>
    </w:p>
    <w:p w14:paraId="23053A5F" w14:textId="77777777" w:rsidR="00C0694E" w:rsidRPr="00181519" w:rsidRDefault="00C0694E" w:rsidP="00DF79F2">
      <w:pPr>
        <w:jc w:val="both"/>
        <w:rPr>
          <w:lang w:val="sl-SI"/>
        </w:rPr>
      </w:pPr>
    </w:p>
    <w:p w14:paraId="1A9D1AA4" w14:textId="2D64B1E9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Mestna občina Koper zagotovi dobitniku naziva 1000 kom posebnih </w:t>
      </w:r>
      <w:r w:rsidR="00181519" w:rsidRPr="00181519">
        <w:rPr>
          <w:lang w:val="sl-SI"/>
        </w:rPr>
        <w:t>nalepk</w:t>
      </w:r>
      <w:r w:rsidRPr="00181519">
        <w:rPr>
          <w:lang w:val="sl-SI"/>
        </w:rPr>
        <w:t xml:space="preserve"> ŽUPANOVO VINO 202</w:t>
      </w:r>
      <w:r w:rsidR="00DC676A" w:rsidRPr="00181519">
        <w:rPr>
          <w:lang w:val="sl-SI"/>
        </w:rPr>
        <w:t>2</w:t>
      </w:r>
      <w:r w:rsidRPr="00181519">
        <w:rPr>
          <w:lang w:val="sl-SI"/>
        </w:rPr>
        <w:t>,</w:t>
      </w:r>
      <w:r w:rsidR="00DC676A" w:rsidRPr="00181519">
        <w:rPr>
          <w:lang w:val="sl-SI"/>
        </w:rPr>
        <w:t xml:space="preserve"> </w:t>
      </w:r>
      <w:r w:rsidRPr="00181519">
        <w:rPr>
          <w:lang w:val="sl-SI"/>
        </w:rPr>
        <w:t xml:space="preserve">ki </w:t>
      </w:r>
      <w:r w:rsidR="001A23CF">
        <w:rPr>
          <w:lang w:val="sl-SI"/>
        </w:rPr>
        <w:t>jih nalepi na st</w:t>
      </w:r>
      <w:r w:rsidR="00DC676A" w:rsidRPr="00181519">
        <w:rPr>
          <w:lang w:val="sl-SI"/>
        </w:rPr>
        <w:t>eklenic</w:t>
      </w:r>
      <w:r w:rsidR="001A23CF">
        <w:rPr>
          <w:lang w:val="sl-SI"/>
        </w:rPr>
        <w:t>o</w:t>
      </w:r>
      <w:r w:rsidRPr="00181519">
        <w:rPr>
          <w:lang w:val="sl-SI"/>
        </w:rPr>
        <w:t xml:space="preserve">. Na željo in stroške dobitnika naziva lahko enako </w:t>
      </w:r>
      <w:r w:rsidR="00181519" w:rsidRPr="00181519">
        <w:rPr>
          <w:lang w:val="sl-SI"/>
        </w:rPr>
        <w:t>nalepko</w:t>
      </w:r>
      <w:r w:rsidRPr="00181519">
        <w:rPr>
          <w:lang w:val="sl-SI"/>
        </w:rPr>
        <w:t xml:space="preserve"> nosijo vse steklenice nagrajenega vina. Stroške dodatnega </w:t>
      </w:r>
      <w:r w:rsidRPr="00ED72C6">
        <w:rPr>
          <w:lang w:val="sl-SI"/>
        </w:rPr>
        <w:t xml:space="preserve">števila </w:t>
      </w:r>
      <w:proofErr w:type="spellStart"/>
      <w:r w:rsidR="00181519" w:rsidRPr="00ED72C6">
        <w:rPr>
          <w:lang w:val="sl-SI"/>
        </w:rPr>
        <w:t>nel</w:t>
      </w:r>
      <w:r w:rsidR="00ED72C6" w:rsidRPr="00ED72C6">
        <w:rPr>
          <w:lang w:val="sl-SI"/>
        </w:rPr>
        <w:t>e</w:t>
      </w:r>
      <w:r w:rsidR="00181519" w:rsidRPr="00ED72C6">
        <w:rPr>
          <w:lang w:val="sl-SI"/>
        </w:rPr>
        <w:t>pk</w:t>
      </w:r>
      <w:proofErr w:type="spellEnd"/>
      <w:r w:rsidRPr="00ED72C6">
        <w:rPr>
          <w:lang w:val="sl-SI"/>
        </w:rPr>
        <w:t xml:space="preserve"> krije</w:t>
      </w:r>
      <w:r w:rsidRPr="00181519">
        <w:rPr>
          <w:lang w:val="sl-SI"/>
        </w:rPr>
        <w:t xml:space="preserve"> dobitnik naziva sam. Na njegovo željo in lastne stroške se lahko nagradni naziv vključi v lastno </w:t>
      </w:r>
      <w:r w:rsidR="00181519" w:rsidRPr="00181519">
        <w:rPr>
          <w:lang w:val="sl-SI"/>
        </w:rPr>
        <w:t>nalepko</w:t>
      </w:r>
      <w:r w:rsidRPr="00181519">
        <w:rPr>
          <w:lang w:val="sl-SI"/>
        </w:rPr>
        <w:t>.</w:t>
      </w:r>
    </w:p>
    <w:p w14:paraId="1813CE09" w14:textId="77777777" w:rsidR="00C0694E" w:rsidRPr="00181519" w:rsidRDefault="00C0694E" w:rsidP="00DF79F2">
      <w:pPr>
        <w:jc w:val="both"/>
        <w:rPr>
          <w:lang w:val="sl-SI"/>
        </w:rPr>
      </w:pPr>
    </w:p>
    <w:p w14:paraId="41660040" w14:textId="369F852F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Pred odkupom ŽUPANOVEGA VINA </w:t>
      </w:r>
      <w:r w:rsidR="00181519" w:rsidRPr="00181519">
        <w:rPr>
          <w:lang w:val="sl-SI"/>
        </w:rPr>
        <w:t>2022</w:t>
      </w:r>
      <w:r w:rsidRPr="00181519">
        <w:rPr>
          <w:lang w:val="sl-SI"/>
        </w:rPr>
        <w:t xml:space="preserve"> </w:t>
      </w:r>
      <w:r w:rsidRPr="00057405">
        <w:rPr>
          <w:lang w:val="sl-SI"/>
        </w:rPr>
        <w:t>se</w:t>
      </w:r>
      <w:r w:rsidR="000A4F2B">
        <w:rPr>
          <w:lang w:val="sl-SI"/>
        </w:rPr>
        <w:t xml:space="preserve"> </w:t>
      </w:r>
      <w:r w:rsidR="000A4F2B" w:rsidRPr="00ED72C6">
        <w:rPr>
          <w:lang w:val="sl-SI"/>
        </w:rPr>
        <w:t>lahko</w:t>
      </w:r>
      <w:r w:rsidRPr="00057405">
        <w:rPr>
          <w:lang w:val="sl-SI"/>
        </w:rPr>
        <w:t xml:space="preserve"> opravi organoleptična kontrola istovetnosti vina z nagrajenim vzorcem. V primeru ugotovljenega odstopanj</w:t>
      </w:r>
      <w:r w:rsidRPr="00181519">
        <w:rPr>
          <w:lang w:val="sl-SI"/>
        </w:rPr>
        <w:t>a, bo Mestna občina Koper</w:t>
      </w:r>
      <w:r w:rsidR="00ED72C6">
        <w:rPr>
          <w:lang w:val="sl-SI"/>
        </w:rPr>
        <w:t xml:space="preserve"> namesto tega</w:t>
      </w:r>
      <w:r w:rsidRPr="00181519">
        <w:rPr>
          <w:lang w:val="sl-SI"/>
        </w:rPr>
        <w:t xml:space="preserve"> odkupila vino, ki bo glede na zbrano število točk na ocenjevanju na drugem mestu. V tem primeru dobitnik naziva le-tega izgubi in se dodeli drugouvrščenemu. Vino mora imeti na dan prodaje veljaven analizni izvid za promet.</w:t>
      </w:r>
    </w:p>
    <w:p w14:paraId="012481A7" w14:textId="77777777" w:rsidR="00C0694E" w:rsidRPr="00181519" w:rsidRDefault="00C0694E" w:rsidP="00DF79F2">
      <w:pPr>
        <w:jc w:val="both"/>
        <w:rPr>
          <w:lang w:val="sl-SI"/>
        </w:rPr>
      </w:pPr>
    </w:p>
    <w:p w14:paraId="708E9472" w14:textId="452FB920" w:rsidR="00C0694E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Poleg naziva ŽUPANOVO VINO </w:t>
      </w:r>
      <w:r w:rsidR="00181519" w:rsidRPr="00181519">
        <w:rPr>
          <w:lang w:val="sl-SI"/>
        </w:rPr>
        <w:t>2022</w:t>
      </w:r>
      <w:r w:rsidRPr="00181519">
        <w:rPr>
          <w:lang w:val="sl-SI"/>
        </w:rPr>
        <w:t xml:space="preserve">, odkupa najmanj </w:t>
      </w:r>
      <w:r w:rsidR="00F601D9" w:rsidRPr="00ED72C6">
        <w:rPr>
          <w:lang w:val="sl-SI"/>
        </w:rPr>
        <w:t>500</w:t>
      </w:r>
      <w:r w:rsidRPr="00ED72C6">
        <w:rPr>
          <w:lang w:val="sl-SI"/>
        </w:rPr>
        <w:t xml:space="preserve"> steklenic </w:t>
      </w:r>
      <w:proofErr w:type="spellStart"/>
      <w:r w:rsidR="00FA3161" w:rsidRPr="00ED72C6">
        <w:rPr>
          <w:lang w:val="sl-SI"/>
        </w:rPr>
        <w:t>prejmnik</w:t>
      </w:r>
      <w:r w:rsidR="00ED72C6" w:rsidRPr="00ED72C6">
        <w:rPr>
          <w:lang w:val="sl-SI"/>
        </w:rPr>
        <w:t>a</w:t>
      </w:r>
      <w:proofErr w:type="spellEnd"/>
      <w:r w:rsidR="00FA3161" w:rsidRPr="00ED72C6">
        <w:rPr>
          <w:lang w:val="sl-SI"/>
        </w:rPr>
        <w:t xml:space="preserve"> naziv</w:t>
      </w:r>
      <w:r w:rsidR="00ED72C6" w:rsidRPr="00ED72C6">
        <w:rPr>
          <w:lang w:val="sl-SI"/>
        </w:rPr>
        <w:t>a</w:t>
      </w:r>
      <w:r w:rsidR="00FA3161">
        <w:rPr>
          <w:lang w:val="sl-SI"/>
        </w:rPr>
        <w:t xml:space="preserve"> </w:t>
      </w:r>
      <w:r w:rsidRPr="00181519">
        <w:rPr>
          <w:lang w:val="sl-SI"/>
        </w:rPr>
        <w:t>po 0,75</w:t>
      </w:r>
      <w:r w:rsidR="00400C6A" w:rsidRPr="00181519">
        <w:rPr>
          <w:lang w:val="sl-SI"/>
        </w:rPr>
        <w:t> l</w:t>
      </w:r>
      <w:r w:rsidRPr="00181519">
        <w:rPr>
          <w:lang w:val="sl-SI"/>
        </w:rPr>
        <w:t xml:space="preserve"> in 1000 </w:t>
      </w:r>
      <w:r w:rsidR="00993538">
        <w:rPr>
          <w:lang w:val="sl-SI"/>
        </w:rPr>
        <w:t>kosov</w:t>
      </w:r>
      <w:r w:rsidRPr="00181519">
        <w:rPr>
          <w:lang w:val="sl-SI"/>
        </w:rPr>
        <w:t xml:space="preserve"> </w:t>
      </w:r>
      <w:r w:rsidR="00993538">
        <w:rPr>
          <w:lang w:val="sl-SI"/>
        </w:rPr>
        <w:t>nalepk</w:t>
      </w:r>
      <w:r w:rsidRPr="00181519">
        <w:rPr>
          <w:lang w:val="sl-SI"/>
        </w:rPr>
        <w:t xml:space="preserve"> bo </w:t>
      </w:r>
      <w:r w:rsidR="008D214C" w:rsidRPr="00ED72C6">
        <w:rPr>
          <w:lang w:val="sl-SI"/>
        </w:rPr>
        <w:t>do</w:t>
      </w:r>
      <w:r w:rsidR="00ED72C6" w:rsidRPr="00ED72C6">
        <w:rPr>
          <w:lang w:val="sl-SI"/>
        </w:rPr>
        <w:t>b</w:t>
      </w:r>
      <w:r w:rsidR="008D214C" w:rsidRPr="00ED72C6">
        <w:rPr>
          <w:lang w:val="sl-SI"/>
        </w:rPr>
        <w:t>itnik naziva</w:t>
      </w:r>
      <w:r w:rsidR="008D214C">
        <w:rPr>
          <w:lang w:val="sl-SI"/>
        </w:rPr>
        <w:t xml:space="preserve"> prejel:</w:t>
      </w:r>
    </w:p>
    <w:p w14:paraId="3495340E" w14:textId="77777777" w:rsidR="008D214C" w:rsidRPr="00181519" w:rsidRDefault="008D214C" w:rsidP="00DF79F2">
      <w:pPr>
        <w:jc w:val="both"/>
        <w:rPr>
          <w:lang w:val="sl-SI"/>
        </w:rPr>
      </w:pPr>
    </w:p>
    <w:p w14:paraId="7713B166" w14:textId="77777777" w:rsidR="00C0694E" w:rsidRPr="00181519" w:rsidRDefault="00C0694E" w:rsidP="00DF79F2">
      <w:pPr>
        <w:numPr>
          <w:ilvl w:val="0"/>
          <w:numId w:val="25"/>
        </w:numPr>
        <w:suppressAutoHyphens/>
        <w:jc w:val="both"/>
        <w:rPr>
          <w:lang w:val="sl-SI"/>
        </w:rPr>
      </w:pPr>
      <w:r w:rsidRPr="00181519">
        <w:rPr>
          <w:lang w:val="sl-SI"/>
        </w:rPr>
        <w:t>posebno nagrado v trajno last;</w:t>
      </w:r>
    </w:p>
    <w:p w14:paraId="380BF70E" w14:textId="03682096" w:rsidR="00B10D7A" w:rsidRDefault="008D214C" w:rsidP="00B10D7A">
      <w:pPr>
        <w:numPr>
          <w:ilvl w:val="0"/>
          <w:numId w:val="25"/>
        </w:numPr>
        <w:suppressAutoHyphens/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promocijske aktivnosti v</w:t>
      </w:r>
      <w:r w:rsidR="000A4F2B">
        <w:rPr>
          <w:rFonts w:cstheme="minorHAnsi"/>
          <w:lang w:val="sl-SI"/>
        </w:rPr>
        <w:t xml:space="preserve"> skupni</w:t>
      </w:r>
      <w:r>
        <w:rPr>
          <w:rFonts w:cstheme="minorHAnsi"/>
          <w:lang w:val="sl-SI"/>
        </w:rPr>
        <w:t xml:space="preserve"> vrednosti 700</w:t>
      </w:r>
      <w:r w:rsidR="000A4F2B">
        <w:rPr>
          <w:rFonts w:cstheme="minorHAnsi"/>
          <w:lang w:val="sl-SI"/>
        </w:rPr>
        <w:t>,00</w:t>
      </w:r>
      <w:r>
        <w:rPr>
          <w:rFonts w:cstheme="minorHAnsi"/>
          <w:lang w:val="sl-SI"/>
        </w:rPr>
        <w:t xml:space="preserve"> EUR.</w:t>
      </w:r>
    </w:p>
    <w:p w14:paraId="4CB6D529" w14:textId="0FB44D10" w:rsidR="00B10D7A" w:rsidRDefault="00B10D7A" w:rsidP="00B10D7A">
      <w:pPr>
        <w:suppressAutoHyphens/>
        <w:jc w:val="both"/>
        <w:rPr>
          <w:rFonts w:cstheme="minorHAnsi"/>
          <w:lang w:val="sl-SI"/>
        </w:rPr>
      </w:pPr>
    </w:p>
    <w:p w14:paraId="66406A99" w14:textId="77777777" w:rsidR="00B10D7A" w:rsidRDefault="00B10D7A" w:rsidP="00B10D7A">
      <w:pPr>
        <w:jc w:val="both"/>
        <w:rPr>
          <w:rFonts w:cstheme="minorHAnsi"/>
          <w:lang w:val="sl-SI"/>
        </w:rPr>
      </w:pPr>
      <w:r>
        <w:rPr>
          <w:rFonts w:cstheme="minorHAnsi"/>
          <w:lang w:val="sl-SI"/>
        </w:rPr>
        <w:t>Odkupljene količine vina hrani sodelujoči zmagovalec do porabe vseh odkupljenih zalog.</w:t>
      </w:r>
    </w:p>
    <w:p w14:paraId="7639223D" w14:textId="77777777" w:rsidR="008D214C" w:rsidRPr="00B8248B" w:rsidRDefault="008D214C" w:rsidP="008D214C">
      <w:pPr>
        <w:suppressAutoHyphens/>
        <w:ind w:left="720"/>
        <w:jc w:val="both"/>
        <w:rPr>
          <w:rFonts w:cstheme="minorHAnsi"/>
          <w:lang w:val="sl-SI"/>
        </w:rPr>
      </w:pPr>
    </w:p>
    <w:p w14:paraId="112A37E9" w14:textId="1FD54967" w:rsidR="00C0694E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Mestna občina Koper se lahko odloči za odkup steklenic vina tudi ostalih sodelujočih vinarjev, ki naziva ŽUPANOVO VINO </w:t>
      </w:r>
      <w:r w:rsidR="00181519" w:rsidRPr="00181519">
        <w:rPr>
          <w:lang w:val="sl-SI"/>
        </w:rPr>
        <w:t>2022</w:t>
      </w:r>
      <w:r w:rsidRPr="00181519">
        <w:rPr>
          <w:lang w:val="sl-SI"/>
        </w:rPr>
        <w:t xml:space="preserve"> ne bodo prejeli.</w:t>
      </w:r>
    </w:p>
    <w:p w14:paraId="546DB2E8" w14:textId="5C06D2ED" w:rsidR="00312FC0" w:rsidRDefault="00312FC0" w:rsidP="00DF79F2">
      <w:pPr>
        <w:jc w:val="both"/>
        <w:rPr>
          <w:lang w:val="sl-SI"/>
        </w:rPr>
      </w:pPr>
    </w:p>
    <w:p w14:paraId="1BAF8D36" w14:textId="77777777" w:rsidR="00C0694E" w:rsidRPr="00181519" w:rsidRDefault="00C0694E" w:rsidP="00DF79F2">
      <w:pPr>
        <w:jc w:val="both"/>
        <w:rPr>
          <w:lang w:val="sl-SI"/>
        </w:rPr>
      </w:pPr>
    </w:p>
    <w:p w14:paraId="38C9007F" w14:textId="77777777" w:rsidR="00C0694E" w:rsidRPr="00181519" w:rsidRDefault="00C0694E" w:rsidP="00DF79F2">
      <w:pPr>
        <w:numPr>
          <w:ilvl w:val="0"/>
          <w:numId w:val="23"/>
        </w:numPr>
        <w:suppressAutoHyphens/>
        <w:jc w:val="both"/>
        <w:rPr>
          <w:b/>
          <w:lang w:val="sl-SI"/>
        </w:rPr>
      </w:pPr>
      <w:r w:rsidRPr="00181519">
        <w:rPr>
          <w:b/>
          <w:caps/>
          <w:lang w:val="sl-SI"/>
        </w:rPr>
        <w:t xml:space="preserve">Rok </w:t>
      </w:r>
      <w:r w:rsidRPr="00181519">
        <w:rPr>
          <w:b/>
          <w:lang w:val="sl-SI"/>
        </w:rPr>
        <w:t>IN NAČIN ODDAJE</w:t>
      </w:r>
      <w:r w:rsidRPr="00181519">
        <w:rPr>
          <w:b/>
          <w:caps/>
          <w:lang w:val="sl-SI"/>
        </w:rPr>
        <w:t xml:space="preserve"> prijav</w:t>
      </w:r>
    </w:p>
    <w:p w14:paraId="1224E49A" w14:textId="77777777" w:rsidR="00C0694E" w:rsidRPr="00181519" w:rsidRDefault="00C0694E" w:rsidP="00DF79F2">
      <w:pPr>
        <w:jc w:val="both"/>
        <w:rPr>
          <w:lang w:val="sl-SI"/>
        </w:rPr>
      </w:pPr>
    </w:p>
    <w:p w14:paraId="2C62A0F8" w14:textId="7C16FC71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Sodelujoči prijavijo svoje vzorce vina izključno s prijavnico na javni natečaj, ki je priloga te dokumentacije. Vina morajo biti donegovana, ni pa nujno, da so tudi že končno ustekleničena. Vzor</w:t>
      </w:r>
      <w:r w:rsidR="007B3711">
        <w:rPr>
          <w:lang w:val="sl-SI"/>
        </w:rPr>
        <w:t xml:space="preserve">ec (po sorti in </w:t>
      </w:r>
      <w:r w:rsidR="007B3711" w:rsidRPr="00ED72C6">
        <w:rPr>
          <w:lang w:val="sl-SI"/>
        </w:rPr>
        <w:t>letniku) obsega</w:t>
      </w:r>
      <w:r w:rsidR="007B3711">
        <w:rPr>
          <w:lang w:val="sl-SI"/>
        </w:rPr>
        <w:t xml:space="preserve"> </w:t>
      </w:r>
      <w:r w:rsidR="007B3711" w:rsidRPr="007B3711">
        <w:rPr>
          <w:b/>
          <w:lang w:val="sl-SI"/>
        </w:rPr>
        <w:t>osem</w:t>
      </w:r>
      <w:r w:rsidR="007B3711">
        <w:rPr>
          <w:lang w:val="sl-SI"/>
        </w:rPr>
        <w:t xml:space="preserve"> steklenic </w:t>
      </w:r>
      <w:r w:rsidRPr="00181519">
        <w:rPr>
          <w:lang w:val="sl-SI"/>
        </w:rPr>
        <w:t xml:space="preserve">vina po 0,75 l od tega </w:t>
      </w:r>
      <w:r w:rsidR="007B3711">
        <w:rPr>
          <w:b/>
          <w:lang w:val="sl-SI"/>
        </w:rPr>
        <w:t>6</w:t>
      </w:r>
      <w:r w:rsidRPr="00181519">
        <w:rPr>
          <w:b/>
          <w:lang w:val="sl-SI"/>
        </w:rPr>
        <w:t xml:space="preserve"> steklenic z originalno </w:t>
      </w:r>
      <w:r w:rsidR="005E47C8">
        <w:rPr>
          <w:b/>
          <w:lang w:val="sl-SI"/>
        </w:rPr>
        <w:t>nalepko</w:t>
      </w:r>
      <w:r w:rsidRPr="00181519">
        <w:rPr>
          <w:b/>
          <w:lang w:val="sl-SI"/>
        </w:rPr>
        <w:t xml:space="preserve"> in 2 steklenici brez </w:t>
      </w:r>
      <w:r w:rsidR="005E47C8">
        <w:rPr>
          <w:b/>
          <w:lang w:val="sl-SI"/>
        </w:rPr>
        <w:t>nalepke</w:t>
      </w:r>
      <w:r w:rsidRPr="00181519">
        <w:rPr>
          <w:lang w:val="sl-SI"/>
        </w:rPr>
        <w:t xml:space="preserve">. Analitične podatke o posameznem vzorcu vina sodelujoči navede v prijavnici. </w:t>
      </w:r>
    </w:p>
    <w:p w14:paraId="5EC60656" w14:textId="77777777" w:rsidR="00C0694E" w:rsidRPr="00181519" w:rsidRDefault="00C0694E" w:rsidP="00DF79F2">
      <w:pPr>
        <w:jc w:val="both"/>
        <w:rPr>
          <w:lang w:val="sl-SI"/>
        </w:rPr>
      </w:pPr>
    </w:p>
    <w:p w14:paraId="6DEDEC94" w14:textId="0BA57C8F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Dve steklenici vina bosta namenjeni ocenjevalni komisiji za ocenjevanje, </w:t>
      </w:r>
      <w:r w:rsidR="00312FC0">
        <w:rPr>
          <w:lang w:val="sl-SI"/>
        </w:rPr>
        <w:t>ostale</w:t>
      </w:r>
      <w:r w:rsidRPr="00181519">
        <w:rPr>
          <w:lang w:val="sl-SI"/>
        </w:rPr>
        <w:t xml:space="preserve"> steklenice pa bodo ponujene na dogodkih Mestne občine Koper.</w:t>
      </w:r>
    </w:p>
    <w:p w14:paraId="375BE753" w14:textId="3D5ABCE6" w:rsidR="00C0694E" w:rsidRPr="00181519" w:rsidRDefault="00C0694E" w:rsidP="00DF79F2">
      <w:pPr>
        <w:jc w:val="both"/>
        <w:rPr>
          <w:b/>
          <w:lang w:val="sl-SI"/>
        </w:rPr>
      </w:pPr>
      <w:r w:rsidRPr="00181519">
        <w:rPr>
          <w:lang w:val="sl-SI"/>
        </w:rPr>
        <w:lastRenderedPageBreak/>
        <w:t xml:space="preserve">Izpolnjeno prijavnico morajo sodelujoči skupaj z vsemi obveznimi vzorci dostaviti </w:t>
      </w:r>
      <w:r w:rsidRPr="00740F3F">
        <w:rPr>
          <w:lang w:val="sl-SI"/>
        </w:rPr>
        <w:t xml:space="preserve">najkasneje </w:t>
      </w:r>
      <w:r w:rsidRPr="00740F3F">
        <w:rPr>
          <w:b/>
          <w:lang w:val="sl-SI"/>
        </w:rPr>
        <w:t xml:space="preserve">do petka, </w:t>
      </w:r>
      <w:r w:rsidR="00740F3F" w:rsidRPr="00740F3F">
        <w:rPr>
          <w:b/>
          <w:lang w:val="sl-SI"/>
        </w:rPr>
        <w:t>14</w:t>
      </w:r>
      <w:r w:rsidRPr="00740F3F">
        <w:rPr>
          <w:b/>
          <w:lang w:val="sl-SI"/>
        </w:rPr>
        <w:t xml:space="preserve">. </w:t>
      </w:r>
      <w:r w:rsidR="00740F3F" w:rsidRPr="00740F3F">
        <w:rPr>
          <w:b/>
          <w:lang w:val="sl-SI"/>
        </w:rPr>
        <w:t>januarja</w:t>
      </w:r>
      <w:r w:rsidRPr="00740F3F">
        <w:rPr>
          <w:b/>
          <w:lang w:val="sl-SI"/>
        </w:rPr>
        <w:t xml:space="preserve"> </w:t>
      </w:r>
      <w:r w:rsidR="00181519" w:rsidRPr="00740F3F">
        <w:rPr>
          <w:b/>
          <w:lang w:val="sl-SI"/>
        </w:rPr>
        <w:t>202</w:t>
      </w:r>
      <w:r w:rsidR="00740F3F" w:rsidRPr="00740F3F">
        <w:rPr>
          <w:b/>
          <w:lang w:val="sl-SI"/>
        </w:rPr>
        <w:t>2</w:t>
      </w:r>
      <w:r w:rsidRPr="00740F3F">
        <w:rPr>
          <w:b/>
          <w:lang w:val="sl-SI"/>
        </w:rPr>
        <w:t>, do 1</w:t>
      </w:r>
      <w:r w:rsidR="00740F3F" w:rsidRPr="00740F3F">
        <w:rPr>
          <w:b/>
          <w:lang w:val="sl-SI"/>
        </w:rPr>
        <w:t>1</w:t>
      </w:r>
      <w:r w:rsidRPr="00740F3F">
        <w:rPr>
          <w:b/>
          <w:lang w:val="sl-SI"/>
        </w:rPr>
        <w:t>. ure</w:t>
      </w:r>
      <w:r w:rsidR="002E0786">
        <w:rPr>
          <w:b/>
          <w:lang w:val="sl-SI"/>
        </w:rPr>
        <w:t>.</w:t>
      </w:r>
    </w:p>
    <w:p w14:paraId="5BC63ECE" w14:textId="11DD60C8" w:rsidR="00C0694E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Zaradi zagotavljanja večje varnosti in spoštovanja ukrepov za zajezitev širjenja okužb bomo vzorce sprejemali v naslednjih terminih:</w:t>
      </w:r>
    </w:p>
    <w:p w14:paraId="74D69113" w14:textId="77777777" w:rsidR="00B10D7A" w:rsidRDefault="00B10D7A" w:rsidP="00DF79F2">
      <w:pPr>
        <w:jc w:val="both"/>
        <w:rPr>
          <w:lang w:val="sl-SI"/>
        </w:rPr>
      </w:pPr>
    </w:p>
    <w:p w14:paraId="06BA8724" w14:textId="77777777" w:rsidR="00740F3F" w:rsidRPr="00ED72C6" w:rsidRDefault="00740F3F" w:rsidP="00740F3F">
      <w:pPr>
        <w:pStyle w:val="ListParagraph"/>
        <w:numPr>
          <w:ilvl w:val="0"/>
          <w:numId w:val="29"/>
        </w:numPr>
        <w:rPr>
          <w:rFonts w:ascii="Cambria" w:eastAsia="Times New Roman" w:hAnsi="Cambria"/>
          <w:sz w:val="20"/>
          <w:szCs w:val="20"/>
        </w:rPr>
      </w:pPr>
      <w:r w:rsidRPr="00ED72C6">
        <w:rPr>
          <w:rFonts w:ascii="Cambria" w:eastAsia="Times New Roman" w:hAnsi="Cambria"/>
          <w:sz w:val="20"/>
          <w:szCs w:val="20"/>
        </w:rPr>
        <w:t>sreda, 12. 1. 2022, od 15. do 17. ure,</w:t>
      </w:r>
    </w:p>
    <w:p w14:paraId="3CDF2129" w14:textId="77777777" w:rsidR="00740F3F" w:rsidRPr="00ED72C6" w:rsidRDefault="00740F3F" w:rsidP="00740F3F">
      <w:pPr>
        <w:pStyle w:val="ListParagraph"/>
        <w:numPr>
          <w:ilvl w:val="0"/>
          <w:numId w:val="29"/>
        </w:numPr>
        <w:rPr>
          <w:rFonts w:ascii="Cambria" w:eastAsia="Times New Roman" w:hAnsi="Cambria"/>
          <w:sz w:val="20"/>
          <w:szCs w:val="20"/>
        </w:rPr>
      </w:pPr>
      <w:r w:rsidRPr="00ED72C6">
        <w:rPr>
          <w:rFonts w:ascii="Cambria" w:eastAsia="Times New Roman" w:hAnsi="Cambria"/>
          <w:sz w:val="20"/>
          <w:szCs w:val="20"/>
        </w:rPr>
        <w:t>četrtek, 13. 1. 2022, od 13. do 16. ure,</w:t>
      </w:r>
    </w:p>
    <w:p w14:paraId="5707EB64" w14:textId="77777777" w:rsidR="00740F3F" w:rsidRPr="00ED72C6" w:rsidRDefault="00740F3F" w:rsidP="00740F3F">
      <w:pPr>
        <w:pStyle w:val="ListParagraph"/>
        <w:numPr>
          <w:ilvl w:val="0"/>
          <w:numId w:val="29"/>
        </w:numPr>
        <w:rPr>
          <w:rFonts w:ascii="Cambria" w:eastAsia="Times New Roman" w:hAnsi="Cambria"/>
          <w:sz w:val="20"/>
          <w:szCs w:val="20"/>
        </w:rPr>
      </w:pPr>
      <w:r w:rsidRPr="00ED72C6">
        <w:rPr>
          <w:rFonts w:ascii="Cambria" w:eastAsia="Times New Roman" w:hAnsi="Cambria"/>
          <w:sz w:val="20"/>
          <w:szCs w:val="20"/>
        </w:rPr>
        <w:t>petek, 14. 1. 2022, od 9. do 11. ure.</w:t>
      </w:r>
    </w:p>
    <w:p w14:paraId="3E87E210" w14:textId="77777777" w:rsidR="00740F3F" w:rsidRPr="00ED72C6" w:rsidRDefault="00740F3F" w:rsidP="00740F3F">
      <w:pPr>
        <w:pStyle w:val="ListParagraph"/>
        <w:spacing w:after="0" w:line="240" w:lineRule="auto"/>
        <w:jc w:val="both"/>
        <w:rPr>
          <w:rFonts w:ascii="Cambria" w:eastAsia="Times New Roman" w:hAnsi="Cambria"/>
          <w:sz w:val="20"/>
          <w:szCs w:val="20"/>
        </w:rPr>
      </w:pPr>
    </w:p>
    <w:p w14:paraId="786133A9" w14:textId="77777777" w:rsidR="00740F3F" w:rsidRPr="007B6683" w:rsidRDefault="00740F3F" w:rsidP="00740F3F">
      <w:pPr>
        <w:jc w:val="both"/>
        <w:rPr>
          <w:rFonts w:cstheme="minorHAnsi"/>
          <w:lang w:val="sl-SI"/>
        </w:rPr>
      </w:pPr>
      <w:r w:rsidRPr="007B6683">
        <w:rPr>
          <w:rFonts w:cstheme="minorHAnsi"/>
          <w:lang w:val="sl-SI"/>
        </w:rPr>
        <w:t xml:space="preserve">Prevzemno mesto bo </w:t>
      </w:r>
      <w:r>
        <w:rPr>
          <w:rFonts w:cstheme="minorHAnsi"/>
          <w:lang w:val="sl-SI"/>
        </w:rPr>
        <w:t xml:space="preserve">stara lekarna v </w:t>
      </w:r>
      <w:r w:rsidRPr="000A4F2B">
        <w:rPr>
          <w:rFonts w:cstheme="minorHAnsi"/>
          <w:b/>
          <w:lang w:val="sl-SI"/>
        </w:rPr>
        <w:t>Pretorski palači v Kopru, Titov trg 3</w:t>
      </w:r>
      <w:r>
        <w:rPr>
          <w:rFonts w:cstheme="minorHAnsi"/>
          <w:lang w:val="sl-SI"/>
        </w:rPr>
        <w:t>.</w:t>
      </w:r>
      <w:r w:rsidRPr="007B6683">
        <w:rPr>
          <w:rFonts w:cstheme="minorHAnsi"/>
          <w:lang w:val="sl-SI"/>
        </w:rPr>
        <w:t xml:space="preserve"> </w:t>
      </w:r>
    </w:p>
    <w:p w14:paraId="71BDC8E5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Če prijavitelj vzorcev ne more dostaviti v zgoraj navedenih terminih, se lahko dogovori za prevzem v drugem terminu v času uradnih ur MOK. </w:t>
      </w:r>
      <w:r w:rsidRPr="00181519">
        <w:rPr>
          <w:b/>
          <w:lang w:val="sl-SI"/>
        </w:rPr>
        <w:t>Nadomestni termin mora biti</w:t>
      </w:r>
      <w:r w:rsidRPr="00181519">
        <w:rPr>
          <w:lang w:val="sl-SI"/>
        </w:rPr>
        <w:t xml:space="preserve"> </w:t>
      </w:r>
      <w:r w:rsidRPr="00181519">
        <w:rPr>
          <w:b/>
          <w:lang w:val="sl-SI"/>
        </w:rPr>
        <w:t>predhodno telefonsko usklajen</w:t>
      </w:r>
      <w:r w:rsidRPr="00181519">
        <w:rPr>
          <w:lang w:val="sl-SI"/>
        </w:rPr>
        <w:t xml:space="preserve"> (tel. št. 05/6646-300).</w:t>
      </w:r>
    </w:p>
    <w:p w14:paraId="18D0E949" w14:textId="77777777" w:rsidR="00C0694E" w:rsidRPr="00181519" w:rsidRDefault="00C0694E" w:rsidP="00DF79F2">
      <w:pPr>
        <w:jc w:val="both"/>
        <w:rPr>
          <w:b/>
          <w:lang w:val="sl-SI"/>
        </w:rPr>
      </w:pPr>
    </w:p>
    <w:p w14:paraId="2192652C" w14:textId="0F5E4C05" w:rsidR="00C0694E" w:rsidRPr="000A4F2B" w:rsidRDefault="00C0694E" w:rsidP="00DF79F2">
      <w:pPr>
        <w:jc w:val="both"/>
        <w:rPr>
          <w:strike/>
          <w:lang w:val="sl-SI"/>
        </w:rPr>
      </w:pPr>
      <w:r w:rsidRPr="00181519">
        <w:rPr>
          <w:lang w:val="sl-SI"/>
        </w:rPr>
        <w:t xml:space="preserve">Upoštevane bodo vse popolne prijave (prijavnica in vzorci vina), ki bodo prispele pravočasno. </w:t>
      </w:r>
    </w:p>
    <w:p w14:paraId="083FFFB0" w14:textId="77777777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>S podpisom prijavnice sodelujoči potrjuje in sprejema pogoje in merila javnega natečaja.</w:t>
      </w:r>
    </w:p>
    <w:p w14:paraId="1A40A6FB" w14:textId="77777777" w:rsidR="00C0694E" w:rsidRPr="00181519" w:rsidRDefault="00C0694E" w:rsidP="00DF79F2">
      <w:pPr>
        <w:pStyle w:val="BodyText"/>
        <w:rPr>
          <w:rFonts w:ascii="Cambria" w:hAnsi="Cambria"/>
          <w:sz w:val="20"/>
        </w:rPr>
      </w:pPr>
    </w:p>
    <w:p w14:paraId="3D52ACD2" w14:textId="77777777" w:rsidR="00C0694E" w:rsidRPr="00181519" w:rsidRDefault="00C0694E" w:rsidP="00DF79F2">
      <w:pPr>
        <w:pStyle w:val="BodyText"/>
        <w:numPr>
          <w:ilvl w:val="0"/>
          <w:numId w:val="23"/>
        </w:numPr>
        <w:suppressAutoHyphens/>
        <w:rPr>
          <w:rFonts w:ascii="Cambria" w:hAnsi="Cambria"/>
          <w:b/>
          <w:sz w:val="20"/>
        </w:rPr>
      </w:pPr>
      <w:r w:rsidRPr="00181519">
        <w:rPr>
          <w:rFonts w:ascii="Cambria" w:hAnsi="Cambria"/>
          <w:b/>
          <w:sz w:val="20"/>
        </w:rPr>
        <w:t>OBVEŠČANJE O IZIDU JAVNEGA NATEČAJA</w:t>
      </w:r>
    </w:p>
    <w:p w14:paraId="27BCD2A0" w14:textId="77777777" w:rsidR="00C0694E" w:rsidRPr="00181519" w:rsidRDefault="00C0694E" w:rsidP="00DF79F2">
      <w:pPr>
        <w:pStyle w:val="BodyText"/>
        <w:rPr>
          <w:rFonts w:ascii="Cambria" w:hAnsi="Cambria"/>
          <w:sz w:val="20"/>
        </w:rPr>
      </w:pPr>
    </w:p>
    <w:p w14:paraId="11E911E7" w14:textId="7F6F7E9B" w:rsidR="00C0694E" w:rsidRPr="00181519" w:rsidRDefault="00C0694E" w:rsidP="00DF79F2">
      <w:pPr>
        <w:pStyle w:val="BodyText"/>
        <w:rPr>
          <w:rFonts w:ascii="Cambria" w:hAnsi="Cambria"/>
          <w:sz w:val="20"/>
        </w:rPr>
      </w:pPr>
      <w:r w:rsidRPr="00181519">
        <w:rPr>
          <w:rFonts w:ascii="Cambria" w:hAnsi="Cambria"/>
          <w:sz w:val="20"/>
        </w:rPr>
        <w:t xml:space="preserve">Prijavitelji bodo </w:t>
      </w:r>
      <w:r w:rsidR="00181519" w:rsidRPr="00181519">
        <w:rPr>
          <w:rFonts w:ascii="Cambria" w:hAnsi="Cambria"/>
          <w:sz w:val="20"/>
        </w:rPr>
        <w:t xml:space="preserve">z odločitvijo ocenjevalne </w:t>
      </w:r>
      <w:r w:rsidR="00181519" w:rsidRPr="00ED72C6">
        <w:rPr>
          <w:rFonts w:ascii="Cambria" w:hAnsi="Cambria"/>
          <w:sz w:val="20"/>
        </w:rPr>
        <w:t>komisije</w:t>
      </w:r>
      <w:r w:rsidRPr="00ED72C6">
        <w:rPr>
          <w:rFonts w:ascii="Cambria" w:hAnsi="Cambria"/>
          <w:sz w:val="20"/>
        </w:rPr>
        <w:t xml:space="preserve"> seznanjeni javno v začetku </w:t>
      </w:r>
      <w:r w:rsidR="00ED72C6">
        <w:rPr>
          <w:rFonts w:ascii="Cambria" w:hAnsi="Cambria"/>
          <w:sz w:val="20"/>
        </w:rPr>
        <w:t>februarja</w:t>
      </w:r>
      <w:r w:rsidRPr="00ED72C6">
        <w:rPr>
          <w:rFonts w:ascii="Cambria" w:hAnsi="Cambria"/>
          <w:sz w:val="20"/>
        </w:rPr>
        <w:t xml:space="preserve"> oziroma pisno v roku 15 dni od razglasitve rezultatov.</w:t>
      </w:r>
    </w:p>
    <w:p w14:paraId="3560933A" w14:textId="77777777" w:rsidR="00C0694E" w:rsidRPr="00181519" w:rsidRDefault="00C0694E" w:rsidP="00DF79F2">
      <w:pPr>
        <w:pStyle w:val="BodyText"/>
        <w:rPr>
          <w:rFonts w:ascii="Cambria" w:hAnsi="Cambria"/>
          <w:sz w:val="20"/>
        </w:rPr>
      </w:pPr>
    </w:p>
    <w:p w14:paraId="54FCD669" w14:textId="77777777" w:rsidR="00C0694E" w:rsidRPr="00181519" w:rsidRDefault="00C0694E" w:rsidP="00DF79F2">
      <w:pPr>
        <w:pStyle w:val="BodyText"/>
        <w:rPr>
          <w:rFonts w:ascii="Cambria" w:hAnsi="Cambria"/>
          <w:sz w:val="20"/>
        </w:rPr>
      </w:pPr>
    </w:p>
    <w:p w14:paraId="02BA58C8" w14:textId="77777777" w:rsidR="00C0694E" w:rsidRPr="00181519" w:rsidRDefault="00C0694E" w:rsidP="00DF79F2">
      <w:pPr>
        <w:pStyle w:val="BodyText"/>
        <w:numPr>
          <w:ilvl w:val="0"/>
          <w:numId w:val="23"/>
        </w:numPr>
        <w:suppressAutoHyphens/>
        <w:rPr>
          <w:rFonts w:ascii="Cambria" w:hAnsi="Cambria"/>
          <w:b/>
          <w:sz w:val="20"/>
        </w:rPr>
      </w:pPr>
      <w:r w:rsidRPr="00181519">
        <w:rPr>
          <w:rFonts w:ascii="Cambria" w:hAnsi="Cambria"/>
          <w:b/>
          <w:sz w:val="20"/>
        </w:rPr>
        <w:t>DOKUMENTACIJA</w:t>
      </w:r>
    </w:p>
    <w:p w14:paraId="41ECB3F1" w14:textId="77777777" w:rsidR="00C0694E" w:rsidRPr="00181519" w:rsidRDefault="00C0694E" w:rsidP="00DF79F2">
      <w:pPr>
        <w:pStyle w:val="BodyText"/>
        <w:ind w:left="360"/>
        <w:rPr>
          <w:rFonts w:ascii="Cambria" w:hAnsi="Cambria"/>
          <w:b/>
          <w:sz w:val="20"/>
        </w:rPr>
      </w:pPr>
    </w:p>
    <w:p w14:paraId="30C002BD" w14:textId="23BC47B4" w:rsidR="00C0694E" w:rsidRPr="00181519" w:rsidRDefault="00C0694E" w:rsidP="00DF79F2">
      <w:pPr>
        <w:jc w:val="both"/>
        <w:rPr>
          <w:lang w:val="sl-SI"/>
        </w:rPr>
      </w:pPr>
      <w:r w:rsidRPr="00181519">
        <w:rPr>
          <w:lang w:val="sl-SI"/>
        </w:rPr>
        <w:t xml:space="preserve">Dokumentacija </w:t>
      </w:r>
      <w:r w:rsidR="006557F4" w:rsidRPr="00181519">
        <w:rPr>
          <w:lang w:val="sl-SI"/>
        </w:rPr>
        <w:t>je</w:t>
      </w:r>
      <w:r w:rsidRPr="00181519">
        <w:rPr>
          <w:lang w:val="sl-SI"/>
        </w:rPr>
        <w:t xml:space="preserve"> od dneva objave javnega natečaja do izteka roka za oddajo prijav na voljo na spletni strani Mestne občine Koper </w:t>
      </w:r>
      <w:hyperlink r:id="rId9" w:history="1">
        <w:r w:rsidRPr="00181519">
          <w:rPr>
            <w:rStyle w:val="Hyperlink"/>
            <w:lang w:val="sl-SI"/>
          </w:rPr>
          <w:t>www.koper.si</w:t>
        </w:r>
      </w:hyperlink>
      <w:r w:rsidRPr="00181519">
        <w:rPr>
          <w:lang w:val="sl-SI"/>
        </w:rPr>
        <w:t xml:space="preserve">. Dodatne informacije sodelujoči </w:t>
      </w:r>
      <w:r w:rsidR="009F6329" w:rsidRPr="00181519">
        <w:rPr>
          <w:lang w:val="sl-SI"/>
        </w:rPr>
        <w:t xml:space="preserve">dobijo </w:t>
      </w:r>
      <w:r w:rsidRPr="00181519">
        <w:rPr>
          <w:lang w:val="sl-SI"/>
        </w:rPr>
        <w:t>na tel. št. 05/6646-300.</w:t>
      </w:r>
    </w:p>
    <w:p w14:paraId="5135E380" w14:textId="26269209" w:rsidR="00C0694E" w:rsidRPr="00181519" w:rsidRDefault="00C0694E" w:rsidP="00DF79F2">
      <w:pPr>
        <w:jc w:val="both"/>
        <w:rPr>
          <w:lang w:val="sl-SI"/>
        </w:rPr>
      </w:pPr>
    </w:p>
    <w:p w14:paraId="30BD1BB1" w14:textId="7D59F934" w:rsidR="00FD7EAB" w:rsidRPr="00181519" w:rsidRDefault="00FD7EAB" w:rsidP="00DF79F2">
      <w:pPr>
        <w:jc w:val="both"/>
        <w:rPr>
          <w:lang w:val="sl-SI"/>
        </w:rPr>
      </w:pPr>
    </w:p>
    <w:p w14:paraId="2FF7A244" w14:textId="77777777" w:rsidR="0016082F" w:rsidRPr="00181519" w:rsidRDefault="0016082F" w:rsidP="00DF79F2">
      <w:pPr>
        <w:pStyle w:val="BodyText"/>
        <w:rPr>
          <w:rFonts w:ascii="Cambria" w:hAnsi="Cambria"/>
          <w:color w:val="FF0000"/>
          <w:sz w:val="20"/>
        </w:rPr>
      </w:pPr>
    </w:p>
    <w:p w14:paraId="4A18CAC4" w14:textId="0CFBC9AA" w:rsidR="0016082F" w:rsidRPr="00181519" w:rsidRDefault="0016082F" w:rsidP="00DF79F2">
      <w:pPr>
        <w:pStyle w:val="BodyText"/>
        <w:rPr>
          <w:rFonts w:ascii="Cambria" w:hAnsi="Cambria"/>
          <w:sz w:val="20"/>
        </w:rPr>
      </w:pPr>
    </w:p>
    <w:p w14:paraId="327435E8" w14:textId="243034EA" w:rsidR="006F0DF3" w:rsidRPr="00181519" w:rsidRDefault="006F0DF3" w:rsidP="00DF79F2">
      <w:pPr>
        <w:pStyle w:val="BodyText"/>
        <w:rPr>
          <w:rFonts w:ascii="Cambria" w:hAnsi="Cambria"/>
          <w:sz w:val="20"/>
        </w:rPr>
      </w:pPr>
      <w:r w:rsidRPr="00181519">
        <w:rPr>
          <w:rFonts w:ascii="Cambria" w:hAnsi="Cambria"/>
          <w:sz w:val="20"/>
        </w:rPr>
        <w:tab/>
      </w:r>
    </w:p>
    <w:p w14:paraId="3427A6A8" w14:textId="3727AACF" w:rsidR="0016082F" w:rsidRPr="00181519" w:rsidRDefault="0016082F" w:rsidP="00DF79F2">
      <w:pPr>
        <w:pStyle w:val="BodyText"/>
        <w:rPr>
          <w:rFonts w:ascii="Cambria" w:hAnsi="Cambria"/>
          <w:sz w:val="20"/>
        </w:rPr>
      </w:pP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  <w:t xml:space="preserve">                </w:t>
      </w:r>
      <w:r w:rsidR="00EB009A">
        <w:rPr>
          <w:rFonts w:ascii="Cambria" w:hAnsi="Cambria"/>
          <w:sz w:val="20"/>
        </w:rPr>
        <w:t xml:space="preserve">    </w:t>
      </w:r>
      <w:r w:rsidRPr="00181519">
        <w:rPr>
          <w:rFonts w:ascii="Cambria" w:hAnsi="Cambria"/>
          <w:sz w:val="20"/>
        </w:rPr>
        <w:t xml:space="preserve">  ŽUPAN</w:t>
      </w:r>
    </w:p>
    <w:p w14:paraId="7031529F" w14:textId="7F9DDB76" w:rsidR="0016082F" w:rsidRPr="00181519" w:rsidRDefault="0016082F" w:rsidP="00DF79F2">
      <w:pPr>
        <w:pStyle w:val="BodyText"/>
        <w:rPr>
          <w:rFonts w:ascii="Cambria" w:hAnsi="Cambria"/>
          <w:sz w:val="20"/>
        </w:rPr>
      </w:pP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  <w:t xml:space="preserve">       </w:t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</w:r>
      <w:r w:rsidRPr="00181519">
        <w:rPr>
          <w:rFonts w:ascii="Cambria" w:hAnsi="Cambria"/>
          <w:sz w:val="20"/>
        </w:rPr>
        <w:tab/>
        <w:t xml:space="preserve">          </w:t>
      </w:r>
      <w:r w:rsidR="00EB009A">
        <w:rPr>
          <w:rFonts w:ascii="Cambria" w:hAnsi="Cambria"/>
          <w:sz w:val="20"/>
        </w:rPr>
        <w:t xml:space="preserve"> </w:t>
      </w:r>
      <w:bookmarkStart w:id="0" w:name="_GoBack"/>
      <w:bookmarkEnd w:id="0"/>
      <w:r w:rsidRPr="00181519">
        <w:rPr>
          <w:rFonts w:ascii="Cambria" w:hAnsi="Cambria"/>
          <w:sz w:val="20"/>
        </w:rPr>
        <w:t xml:space="preserve">     Aleš Bržan</w:t>
      </w:r>
      <w:r w:rsidR="00EB009A">
        <w:rPr>
          <w:rFonts w:ascii="Cambria" w:hAnsi="Cambria"/>
          <w:sz w:val="20"/>
        </w:rPr>
        <w:t>, l. r.</w:t>
      </w:r>
    </w:p>
    <w:p w14:paraId="276FCAF8" w14:textId="0B49E44C" w:rsidR="005A4740" w:rsidRPr="00181519" w:rsidRDefault="005A4740" w:rsidP="00DF79F2">
      <w:pPr>
        <w:pStyle w:val="BodyText"/>
        <w:rPr>
          <w:rFonts w:ascii="Cambria" w:hAnsi="Cambria"/>
          <w:sz w:val="20"/>
        </w:rPr>
      </w:pPr>
    </w:p>
    <w:sectPr w:rsidR="005A4740" w:rsidRPr="00181519" w:rsidSect="00C962DA">
      <w:footerReference w:type="default" r:id="rId10"/>
      <w:pgSz w:w="11909" w:h="16834" w:code="9"/>
      <w:pgMar w:top="1134" w:right="1134" w:bottom="1134" w:left="1134" w:header="284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B9144" w14:textId="77777777" w:rsidR="001A64FF" w:rsidRDefault="001A64FF">
      <w:r>
        <w:separator/>
      </w:r>
    </w:p>
  </w:endnote>
  <w:endnote w:type="continuationSeparator" w:id="0">
    <w:p w14:paraId="0CA98BD9" w14:textId="77777777" w:rsidR="001A64FF" w:rsidRDefault="001A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70668" w14:textId="4231D0A0" w:rsidR="001A64FF" w:rsidRDefault="001A64FF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624D">
      <w:rPr>
        <w:noProof/>
      </w:rPr>
      <w:t>3</w:t>
    </w:r>
    <w:r>
      <w:fldChar w:fldCharType="end"/>
    </w:r>
    <w:r>
      <w:t>/</w:t>
    </w:r>
    <w:fldSimple w:instr=" NUMPAGES   \* MERGEFORMAT ">
      <w:r w:rsidR="00B4624D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CAC9A" w14:textId="77777777" w:rsidR="001A64FF" w:rsidRDefault="001A64FF">
      <w:r>
        <w:separator/>
      </w:r>
    </w:p>
  </w:footnote>
  <w:footnote w:type="continuationSeparator" w:id="0">
    <w:p w14:paraId="520401FA" w14:textId="77777777" w:rsidR="001A64FF" w:rsidRDefault="001A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4E45CB7"/>
    <w:multiLevelType w:val="hybridMultilevel"/>
    <w:tmpl w:val="1868D018"/>
    <w:lvl w:ilvl="0" w:tplc="1E9EE270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B0A2A"/>
    <w:multiLevelType w:val="hybridMultilevel"/>
    <w:tmpl w:val="F398B0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73C1F"/>
    <w:multiLevelType w:val="hybridMultilevel"/>
    <w:tmpl w:val="6A3AABDC"/>
    <w:lvl w:ilvl="0" w:tplc="C4348D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77AA0A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FA4238"/>
    <w:multiLevelType w:val="hybridMultilevel"/>
    <w:tmpl w:val="5F0A701C"/>
    <w:lvl w:ilvl="0" w:tplc="3CF610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11133CA1"/>
    <w:multiLevelType w:val="hybridMultilevel"/>
    <w:tmpl w:val="731A0D94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1B28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D4F97"/>
    <w:multiLevelType w:val="multilevel"/>
    <w:tmpl w:val="4C9685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22B115EA"/>
    <w:multiLevelType w:val="singleLevel"/>
    <w:tmpl w:val="B7C0E19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40087C"/>
    <w:multiLevelType w:val="hybridMultilevel"/>
    <w:tmpl w:val="6DD618E4"/>
    <w:lvl w:ilvl="0" w:tplc="C4348D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01C3A"/>
    <w:multiLevelType w:val="hybridMultilevel"/>
    <w:tmpl w:val="4300A352"/>
    <w:lvl w:ilvl="0" w:tplc="1730CA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2AED04B8"/>
    <w:multiLevelType w:val="hybridMultilevel"/>
    <w:tmpl w:val="51CA47D0"/>
    <w:lvl w:ilvl="0" w:tplc="58960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424C8"/>
    <w:multiLevelType w:val="hybridMultilevel"/>
    <w:tmpl w:val="E8AEF9E0"/>
    <w:lvl w:ilvl="0" w:tplc="999EC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4D0911"/>
    <w:multiLevelType w:val="hybridMultilevel"/>
    <w:tmpl w:val="84C610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4A3559C"/>
    <w:multiLevelType w:val="hybridMultilevel"/>
    <w:tmpl w:val="0F384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28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EE74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BF6835"/>
    <w:multiLevelType w:val="hybridMultilevel"/>
    <w:tmpl w:val="C32E3816"/>
    <w:lvl w:ilvl="0" w:tplc="0424000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E74EB"/>
    <w:multiLevelType w:val="multilevel"/>
    <w:tmpl w:val="45A06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8" w15:restartNumberingAfterBreak="0">
    <w:nsid w:val="4FC20690"/>
    <w:multiLevelType w:val="hybridMultilevel"/>
    <w:tmpl w:val="E00E2F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77144"/>
    <w:multiLevelType w:val="hybridMultilevel"/>
    <w:tmpl w:val="13144B0C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CF78BA"/>
    <w:multiLevelType w:val="hybridMultilevel"/>
    <w:tmpl w:val="5AC8FE78"/>
    <w:lvl w:ilvl="0" w:tplc="96DE5E4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A2F82"/>
    <w:multiLevelType w:val="hybridMultilevel"/>
    <w:tmpl w:val="7F8A59D8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4391B"/>
    <w:multiLevelType w:val="hybridMultilevel"/>
    <w:tmpl w:val="060A1C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4520E6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E21447"/>
    <w:multiLevelType w:val="multilevel"/>
    <w:tmpl w:val="356867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5EF2AF9"/>
    <w:multiLevelType w:val="hybridMultilevel"/>
    <w:tmpl w:val="BAA030B4"/>
    <w:lvl w:ilvl="0" w:tplc="FFFFFFFF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615FF"/>
    <w:multiLevelType w:val="hybridMultilevel"/>
    <w:tmpl w:val="2B2209CC"/>
    <w:lvl w:ilvl="0" w:tplc="B8A40296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B31B5"/>
    <w:multiLevelType w:val="hybridMultilevel"/>
    <w:tmpl w:val="E6D2887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24"/>
  </w:num>
  <w:num w:numId="4">
    <w:abstractNumId w:val="15"/>
  </w:num>
  <w:num w:numId="5">
    <w:abstractNumId w:val="12"/>
  </w:num>
  <w:num w:numId="6">
    <w:abstractNumId w:val="9"/>
  </w:num>
  <w:num w:numId="7">
    <w:abstractNumId w:val="5"/>
  </w:num>
  <w:num w:numId="8">
    <w:abstractNumId w:val="4"/>
  </w:num>
  <w:num w:numId="9">
    <w:abstractNumId w:val="27"/>
  </w:num>
  <w:num w:numId="10">
    <w:abstractNumId w:val="26"/>
  </w:num>
  <w:num w:numId="11">
    <w:abstractNumId w:val="22"/>
  </w:num>
  <w:num w:numId="12">
    <w:abstractNumId w:val="19"/>
  </w:num>
  <w:num w:numId="13">
    <w:abstractNumId w:val="21"/>
  </w:num>
  <w:num w:numId="14">
    <w:abstractNumId w:val="7"/>
  </w:num>
  <w:num w:numId="15">
    <w:abstractNumId w:val="14"/>
  </w:num>
  <w:num w:numId="16">
    <w:abstractNumId w:val="3"/>
  </w:num>
  <w:num w:numId="17">
    <w:abstractNumId w:val="6"/>
  </w:num>
  <w:num w:numId="18">
    <w:abstractNumId w:val="10"/>
  </w:num>
  <w:num w:numId="19">
    <w:abstractNumId w:val="16"/>
  </w:num>
  <w:num w:numId="20">
    <w:abstractNumId w:val="25"/>
  </w:num>
  <w:num w:numId="21">
    <w:abstractNumId w:val="13"/>
  </w:num>
  <w:num w:numId="22">
    <w:abstractNumId w:val="0"/>
  </w:num>
  <w:num w:numId="23">
    <w:abstractNumId w:val="1"/>
  </w:num>
  <w:num w:numId="24">
    <w:abstractNumId w:val="18"/>
  </w:num>
  <w:num w:numId="25">
    <w:abstractNumId w:val="2"/>
  </w:num>
  <w:num w:numId="26">
    <w:abstractNumId w:val="17"/>
  </w:num>
  <w:num w:numId="27">
    <w:abstractNumId w:val="23"/>
  </w:num>
  <w:num w:numId="28">
    <w:abstractNumId w:val="8"/>
  </w:num>
  <w:num w:numId="29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0431E"/>
    <w:rsid w:val="00057405"/>
    <w:rsid w:val="000801E3"/>
    <w:rsid w:val="0008544C"/>
    <w:rsid w:val="00092DA3"/>
    <w:rsid w:val="000A4F2B"/>
    <w:rsid w:val="000A70A6"/>
    <w:rsid w:val="00100390"/>
    <w:rsid w:val="00101B67"/>
    <w:rsid w:val="00110382"/>
    <w:rsid w:val="0011639C"/>
    <w:rsid w:val="0011673B"/>
    <w:rsid w:val="001248ED"/>
    <w:rsid w:val="00136602"/>
    <w:rsid w:val="00143273"/>
    <w:rsid w:val="00155A39"/>
    <w:rsid w:val="0016082F"/>
    <w:rsid w:val="00181519"/>
    <w:rsid w:val="0018718D"/>
    <w:rsid w:val="001A23CF"/>
    <w:rsid w:val="001A64FF"/>
    <w:rsid w:val="00207DE5"/>
    <w:rsid w:val="0023354E"/>
    <w:rsid w:val="002E0786"/>
    <w:rsid w:val="00312FC0"/>
    <w:rsid w:val="00315585"/>
    <w:rsid w:val="00325D9E"/>
    <w:rsid w:val="00383B2B"/>
    <w:rsid w:val="00393916"/>
    <w:rsid w:val="003A46F6"/>
    <w:rsid w:val="003D7757"/>
    <w:rsid w:val="003F2CD2"/>
    <w:rsid w:val="00400C6A"/>
    <w:rsid w:val="004060DA"/>
    <w:rsid w:val="00443B49"/>
    <w:rsid w:val="00482DF6"/>
    <w:rsid w:val="0048326B"/>
    <w:rsid w:val="0049077E"/>
    <w:rsid w:val="004A6241"/>
    <w:rsid w:val="004C06D4"/>
    <w:rsid w:val="004F5A7E"/>
    <w:rsid w:val="00520EA8"/>
    <w:rsid w:val="00561422"/>
    <w:rsid w:val="00597FA7"/>
    <w:rsid w:val="005A106E"/>
    <w:rsid w:val="005A4740"/>
    <w:rsid w:val="005B0289"/>
    <w:rsid w:val="005C6949"/>
    <w:rsid w:val="005E47C8"/>
    <w:rsid w:val="005F1065"/>
    <w:rsid w:val="006010DE"/>
    <w:rsid w:val="00626959"/>
    <w:rsid w:val="006557F4"/>
    <w:rsid w:val="00663981"/>
    <w:rsid w:val="006912DE"/>
    <w:rsid w:val="00692731"/>
    <w:rsid w:val="006F0DF3"/>
    <w:rsid w:val="007134C0"/>
    <w:rsid w:val="00714D69"/>
    <w:rsid w:val="00740F3F"/>
    <w:rsid w:val="0074611D"/>
    <w:rsid w:val="007B2534"/>
    <w:rsid w:val="007B3711"/>
    <w:rsid w:val="007B5E0F"/>
    <w:rsid w:val="007B5E68"/>
    <w:rsid w:val="00825FD9"/>
    <w:rsid w:val="00840FE2"/>
    <w:rsid w:val="008414F4"/>
    <w:rsid w:val="0085486D"/>
    <w:rsid w:val="0086679B"/>
    <w:rsid w:val="008C2C61"/>
    <w:rsid w:val="008C5C04"/>
    <w:rsid w:val="008D214C"/>
    <w:rsid w:val="00902E10"/>
    <w:rsid w:val="0091399D"/>
    <w:rsid w:val="009165E3"/>
    <w:rsid w:val="009351C8"/>
    <w:rsid w:val="009573A7"/>
    <w:rsid w:val="00981753"/>
    <w:rsid w:val="00985AD0"/>
    <w:rsid w:val="00990A6C"/>
    <w:rsid w:val="00993538"/>
    <w:rsid w:val="009A59AD"/>
    <w:rsid w:val="009B43FD"/>
    <w:rsid w:val="009F6329"/>
    <w:rsid w:val="00AA1D69"/>
    <w:rsid w:val="00AB24FF"/>
    <w:rsid w:val="00AE1678"/>
    <w:rsid w:val="00AF5F71"/>
    <w:rsid w:val="00AF6676"/>
    <w:rsid w:val="00B01A0C"/>
    <w:rsid w:val="00B05F44"/>
    <w:rsid w:val="00B10D7A"/>
    <w:rsid w:val="00B1174B"/>
    <w:rsid w:val="00B45741"/>
    <w:rsid w:val="00B4624D"/>
    <w:rsid w:val="00B513AB"/>
    <w:rsid w:val="00B52311"/>
    <w:rsid w:val="00B73605"/>
    <w:rsid w:val="00B870BB"/>
    <w:rsid w:val="00BE5D90"/>
    <w:rsid w:val="00C0694E"/>
    <w:rsid w:val="00C245B3"/>
    <w:rsid w:val="00C3664A"/>
    <w:rsid w:val="00C375B1"/>
    <w:rsid w:val="00C962DA"/>
    <w:rsid w:val="00CB1783"/>
    <w:rsid w:val="00CC3A99"/>
    <w:rsid w:val="00CC5577"/>
    <w:rsid w:val="00CF1FA4"/>
    <w:rsid w:val="00D026F3"/>
    <w:rsid w:val="00D04C67"/>
    <w:rsid w:val="00D464B1"/>
    <w:rsid w:val="00D46543"/>
    <w:rsid w:val="00D525BB"/>
    <w:rsid w:val="00D9102B"/>
    <w:rsid w:val="00DA5C55"/>
    <w:rsid w:val="00DC676A"/>
    <w:rsid w:val="00DD5149"/>
    <w:rsid w:val="00DF79F2"/>
    <w:rsid w:val="00E24134"/>
    <w:rsid w:val="00E26146"/>
    <w:rsid w:val="00E3174D"/>
    <w:rsid w:val="00E31F06"/>
    <w:rsid w:val="00E4607B"/>
    <w:rsid w:val="00E8523D"/>
    <w:rsid w:val="00E937A1"/>
    <w:rsid w:val="00EA3A7C"/>
    <w:rsid w:val="00EA6674"/>
    <w:rsid w:val="00EB009A"/>
    <w:rsid w:val="00EB6CA6"/>
    <w:rsid w:val="00EB7D96"/>
    <w:rsid w:val="00ED72C6"/>
    <w:rsid w:val="00EE3C89"/>
    <w:rsid w:val="00EE7999"/>
    <w:rsid w:val="00F00367"/>
    <w:rsid w:val="00F601D9"/>
    <w:rsid w:val="00F60E20"/>
    <w:rsid w:val="00F806B0"/>
    <w:rsid w:val="00FA3161"/>
    <w:rsid w:val="00FA55E0"/>
    <w:rsid w:val="00FC2303"/>
    <w:rsid w:val="00FC30D5"/>
    <w:rsid w:val="00FD7EAB"/>
    <w:rsid w:val="00FE3BED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,"/>
  <w14:docId w14:val="53B2AE42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paragraph" w:styleId="Heading6">
    <w:name w:val="heading 6"/>
    <w:basedOn w:val="Normal"/>
    <w:next w:val="Normal"/>
    <w:link w:val="Heading6Char"/>
    <w:qFormat/>
    <w:rsid w:val="0016082F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  <w:lang w:val="sl-SI" w:eastAsia="sl-SI"/>
    </w:rPr>
  </w:style>
  <w:style w:type="paragraph" w:styleId="Heading7">
    <w:name w:val="heading 7"/>
    <w:basedOn w:val="Normal"/>
    <w:next w:val="Normal"/>
    <w:link w:val="Heading7Char"/>
    <w:qFormat/>
    <w:rsid w:val="0016082F"/>
    <w:pPr>
      <w:spacing w:before="240" w:after="60"/>
      <w:jc w:val="both"/>
      <w:outlineLvl w:val="6"/>
    </w:pPr>
    <w:rPr>
      <w:rFonts w:ascii="Times New Roman" w:hAnsi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rsid w:val="0016082F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6082F"/>
    <w:rPr>
      <w:sz w:val="24"/>
      <w:szCs w:val="24"/>
    </w:rPr>
  </w:style>
  <w:style w:type="paragraph" w:styleId="BodyText">
    <w:name w:val="Body Text"/>
    <w:basedOn w:val="Normal"/>
    <w:link w:val="BodyTextChar"/>
    <w:rsid w:val="0016082F"/>
    <w:pPr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16082F"/>
    <w:rPr>
      <w:sz w:val="24"/>
    </w:rPr>
  </w:style>
  <w:style w:type="paragraph" w:styleId="BodyText2">
    <w:name w:val="Body Text 2"/>
    <w:basedOn w:val="Normal"/>
    <w:link w:val="BodyText2Char"/>
    <w:rsid w:val="0016082F"/>
    <w:pPr>
      <w:pBdr>
        <w:bottom w:val="single" w:sz="6" w:space="1" w:color="auto"/>
      </w:pBdr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16082F"/>
    <w:rPr>
      <w:sz w:val="24"/>
    </w:rPr>
  </w:style>
  <w:style w:type="paragraph" w:styleId="BodyText3">
    <w:name w:val="Body Text 3"/>
    <w:basedOn w:val="Normal"/>
    <w:link w:val="BodyText3Char"/>
    <w:rsid w:val="0016082F"/>
    <w:pPr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3Char">
    <w:name w:val="Body Text 3 Char"/>
    <w:basedOn w:val="DefaultParagraphFont"/>
    <w:link w:val="BodyText3"/>
    <w:rsid w:val="0016082F"/>
    <w:rPr>
      <w:sz w:val="24"/>
    </w:rPr>
  </w:style>
  <w:style w:type="character" w:styleId="PageNumber">
    <w:name w:val="page number"/>
    <w:basedOn w:val="DefaultParagraphFont"/>
    <w:rsid w:val="0016082F"/>
  </w:style>
  <w:style w:type="character" w:styleId="Hyperlink">
    <w:name w:val="Hyperlink"/>
    <w:rsid w:val="0016082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6082F"/>
    <w:pPr>
      <w:spacing w:after="120"/>
      <w:ind w:left="283"/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IndentChar">
    <w:name w:val="Body Text Indent Char"/>
    <w:basedOn w:val="DefaultParagraphFont"/>
    <w:link w:val="BodyTextIndent"/>
    <w:rsid w:val="0016082F"/>
    <w:rPr>
      <w:sz w:val="24"/>
    </w:rPr>
  </w:style>
  <w:style w:type="paragraph" w:customStyle="1" w:styleId="S">
    <w:name w:val="S"/>
    <w:basedOn w:val="Normal"/>
    <w:rsid w:val="0016082F"/>
    <w:pPr>
      <w:jc w:val="both"/>
    </w:pPr>
    <w:rPr>
      <w:rFonts w:ascii="Times New Roman" w:hAnsi="Times New Roman"/>
      <w:sz w:val="24"/>
      <w:lang w:val="en-GB" w:eastAsia="sl-SI"/>
    </w:rPr>
  </w:style>
  <w:style w:type="paragraph" w:styleId="FootnoteText">
    <w:name w:val="footnote text"/>
    <w:basedOn w:val="Normal"/>
    <w:link w:val="FootnoteTextChar"/>
    <w:semiHidden/>
    <w:rsid w:val="0016082F"/>
    <w:pPr>
      <w:jc w:val="both"/>
    </w:pPr>
    <w:rPr>
      <w:rFonts w:ascii="Times New Roman" w:hAnsi="Times New Roman"/>
      <w:sz w:val="24"/>
      <w:lang w:val="en-GB"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16082F"/>
    <w:rPr>
      <w:sz w:val="24"/>
      <w:lang w:val="en-GB"/>
    </w:rPr>
  </w:style>
  <w:style w:type="paragraph" w:customStyle="1" w:styleId="tekst">
    <w:name w:val="tekst"/>
    <w:basedOn w:val="Normal"/>
    <w:rsid w:val="0016082F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val="sl-SI" w:eastAsia="sl-SI"/>
    </w:rPr>
  </w:style>
  <w:style w:type="paragraph" w:styleId="NormalWeb">
    <w:name w:val="Normal (Web)"/>
    <w:basedOn w:val="Normal"/>
    <w:uiPriority w:val="99"/>
    <w:rsid w:val="0016082F"/>
    <w:pPr>
      <w:spacing w:after="140"/>
      <w:jc w:val="both"/>
    </w:pPr>
    <w:rPr>
      <w:rFonts w:ascii="Times New Roman" w:hAnsi="Times New Roman"/>
      <w:color w:val="333333"/>
      <w:sz w:val="12"/>
      <w:szCs w:val="12"/>
      <w:lang w:val="sl-SI" w:eastAsia="sl-SI"/>
    </w:rPr>
  </w:style>
  <w:style w:type="paragraph" w:customStyle="1" w:styleId="esegmenth4">
    <w:name w:val="esegmenth4"/>
    <w:basedOn w:val="Normal"/>
    <w:rsid w:val="0016082F"/>
    <w:pPr>
      <w:spacing w:after="140"/>
      <w:jc w:val="center"/>
    </w:pPr>
    <w:rPr>
      <w:rFonts w:ascii="Times New Roman" w:hAnsi="Times New Roman"/>
      <w:b/>
      <w:bCs/>
      <w:color w:val="333333"/>
      <w:sz w:val="12"/>
      <w:szCs w:val="12"/>
      <w:lang w:val="sl-SI" w:eastAsia="sl-SI"/>
    </w:rPr>
  </w:style>
  <w:style w:type="character" w:styleId="CommentReference">
    <w:name w:val="annotation reference"/>
    <w:uiPriority w:val="99"/>
    <w:semiHidden/>
    <w:rsid w:val="00160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082F"/>
    <w:pPr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82F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0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082F"/>
    <w:rPr>
      <w:b/>
      <w:bCs/>
      <w:sz w:val="24"/>
    </w:rPr>
  </w:style>
  <w:style w:type="character" w:customStyle="1" w:styleId="st">
    <w:name w:val="st"/>
    <w:rsid w:val="0016082F"/>
  </w:style>
  <w:style w:type="character" w:styleId="Emphasis">
    <w:name w:val="Emphasis"/>
    <w:uiPriority w:val="20"/>
    <w:qFormat/>
    <w:rsid w:val="0016082F"/>
    <w:rPr>
      <w:i/>
      <w:iCs/>
    </w:rPr>
  </w:style>
  <w:style w:type="paragraph" w:styleId="ListParagraph">
    <w:name w:val="List Paragraph"/>
    <w:basedOn w:val="Normal"/>
    <w:uiPriority w:val="34"/>
    <w:qFormat/>
    <w:rsid w:val="001608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table" w:styleId="MediumList2-Accent1">
    <w:name w:val="Medium List 2 Accent 1"/>
    <w:basedOn w:val="TableNormal"/>
    <w:uiPriority w:val="66"/>
    <w:rsid w:val="0016082F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per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E217-2D96-472A-AED3-55DF17B1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1128</Words>
  <Characters>6569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MariaLuisa Maier Sponza</cp:lastModifiedBy>
  <cp:revision>5</cp:revision>
  <cp:lastPrinted>2021-12-20T09:08:00Z</cp:lastPrinted>
  <dcterms:created xsi:type="dcterms:W3CDTF">2021-12-20T08:35:00Z</dcterms:created>
  <dcterms:modified xsi:type="dcterms:W3CDTF">2021-12-20T09:08:00Z</dcterms:modified>
</cp:coreProperties>
</file>